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8E" w:rsidRDefault="00F5398E" w:rsidP="00F5398E">
      <w:pPr>
        <w:pStyle w:val="1"/>
        <w:spacing w:before="0" w:after="0" w:line="460" w:lineRule="exact"/>
        <w:jc w:val="center"/>
        <w:rPr>
          <w:rFonts w:ascii="宋体" w:hAnsi="宋体" w:cs="宋体" w:hint="eastAsia"/>
        </w:rPr>
      </w:pPr>
      <w:bookmarkStart w:id="0" w:name="_Toc106313710"/>
      <w:r>
        <w:rPr>
          <w:rFonts w:ascii="宋体" w:hAnsi="宋体" w:cs="宋体" w:hint="eastAsia"/>
        </w:rPr>
        <w:t>第五</w:t>
      </w:r>
      <w:bookmarkStart w:id="1" w:name="_Toc416813470"/>
      <w:bookmarkStart w:id="2" w:name="_Toc463071336"/>
      <w:r>
        <w:rPr>
          <w:rFonts w:ascii="宋体" w:hAnsi="宋体" w:cs="宋体" w:hint="eastAsia"/>
        </w:rPr>
        <w:t xml:space="preserve">章 </w:t>
      </w:r>
      <w:bookmarkEnd w:id="1"/>
      <w:bookmarkEnd w:id="2"/>
      <w:r>
        <w:rPr>
          <w:rFonts w:ascii="宋体" w:hAnsi="宋体" w:cs="宋体" w:hint="eastAsia"/>
        </w:rPr>
        <w:t>采购需求</w:t>
      </w:r>
      <w:bookmarkEnd w:id="0"/>
    </w:p>
    <w:p w:rsidR="00F5398E" w:rsidRDefault="00F5398E" w:rsidP="00F5398E">
      <w:bookmarkStart w:id="3" w:name="_Toc26448"/>
    </w:p>
    <w:p w:rsidR="00F5398E" w:rsidRDefault="00F5398E" w:rsidP="00F5398E">
      <w:pPr>
        <w:pStyle w:val="2"/>
        <w:spacing w:before="0" w:after="0"/>
        <w:rPr>
          <w:rFonts w:ascii="宋体" w:hAnsi="宋体" w:hint="eastAsia"/>
          <w:color w:val="000000"/>
          <w:sz w:val="28"/>
          <w:szCs w:val="28"/>
        </w:rPr>
      </w:pPr>
      <w:bookmarkStart w:id="4" w:name="_Toc106313711"/>
      <w:r>
        <w:rPr>
          <w:rFonts w:ascii="宋体" w:hAnsi="宋体" w:hint="eastAsia"/>
          <w:color w:val="000000"/>
          <w:sz w:val="28"/>
          <w:szCs w:val="28"/>
        </w:rPr>
        <w:t>一、</w:t>
      </w:r>
      <w:bookmarkEnd w:id="3"/>
      <w:r>
        <w:rPr>
          <w:rFonts w:ascii="宋体" w:hAnsi="宋体" w:hint="eastAsia"/>
          <w:color w:val="000000"/>
          <w:sz w:val="28"/>
          <w:szCs w:val="28"/>
        </w:rPr>
        <w:t>服务清单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524"/>
        <w:gridCol w:w="3832"/>
      </w:tblGrid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5" w:name="_Hlk99134230"/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数量（单位）</w:t>
            </w:r>
          </w:p>
        </w:tc>
      </w:tr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赣南医学院实验室废弃物处置项目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1项</w:t>
            </w:r>
          </w:p>
        </w:tc>
      </w:tr>
      <w:tr w:rsidR="00F5398E" w:rsidTr="009D7F16">
        <w:trPr>
          <w:jc w:val="center"/>
        </w:trPr>
        <w:tc>
          <w:tcPr>
            <w:tcW w:w="9202" w:type="dxa"/>
            <w:gridSpan w:val="3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危险废物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处置服务明细</w:t>
            </w:r>
          </w:p>
        </w:tc>
      </w:tr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种类名称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单价最高限价</w:t>
            </w: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人民币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元</w:t>
            </w: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吨</w:t>
            </w:r>
            <w:r>
              <w:rPr>
                <w:rFonts w:ascii="宋体" w:hAnsi="宋体" w:cs="Malgun Gothic"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HW49 900-047-49实验室废液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15500.00</w:t>
            </w:r>
          </w:p>
        </w:tc>
      </w:tr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HW49 900-047-49实验室废试剂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68000.00</w:t>
            </w:r>
          </w:p>
        </w:tc>
      </w:tr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HW49 900-047-49实验室废试剂（剧毒）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670000.00</w:t>
            </w:r>
          </w:p>
        </w:tc>
      </w:tr>
      <w:tr w:rsidR="00F5398E" w:rsidTr="009D7F16">
        <w:trPr>
          <w:jc w:val="center"/>
        </w:trPr>
        <w:tc>
          <w:tcPr>
            <w:tcW w:w="846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HW49 900-041-49废弃包装物</w:t>
            </w:r>
          </w:p>
        </w:tc>
        <w:tc>
          <w:tcPr>
            <w:tcW w:w="3832" w:type="dxa"/>
            <w:vAlign w:val="center"/>
          </w:tcPr>
          <w:p w:rsidR="00F5398E" w:rsidRDefault="00F5398E" w:rsidP="009D7F16">
            <w:pPr>
              <w:tabs>
                <w:tab w:val="left" w:pos="31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15000.00</w:t>
            </w:r>
          </w:p>
        </w:tc>
      </w:tr>
    </w:tbl>
    <w:p w:rsidR="00F5398E" w:rsidRDefault="00F5398E" w:rsidP="00F5398E">
      <w:pPr>
        <w:spacing w:line="460" w:lineRule="exact"/>
        <w:rPr>
          <w:rFonts w:ascii="宋体" w:hAnsi="宋体" w:cs="宋体" w:hint="eastAsia"/>
          <w:b/>
          <w:bCs/>
          <w:sz w:val="24"/>
        </w:rPr>
      </w:pPr>
    </w:p>
    <w:p w:rsidR="00F5398E" w:rsidRDefault="00F5398E" w:rsidP="00F5398E">
      <w:pPr>
        <w:pStyle w:val="2"/>
        <w:spacing w:before="0" w:after="0"/>
        <w:rPr>
          <w:rFonts w:ascii="宋体" w:hAnsi="宋体" w:hint="eastAsia"/>
          <w:color w:val="000000"/>
          <w:sz w:val="28"/>
          <w:szCs w:val="28"/>
        </w:rPr>
      </w:pPr>
      <w:bookmarkStart w:id="6" w:name="_Toc106313712"/>
      <w:r>
        <w:rPr>
          <w:rFonts w:ascii="宋体" w:hAnsi="宋体" w:hint="eastAsia"/>
          <w:color w:val="000000"/>
          <w:sz w:val="28"/>
          <w:szCs w:val="28"/>
        </w:rPr>
        <w:t>二、技术要求</w:t>
      </w:r>
      <w:bookmarkEnd w:id="6"/>
    </w:p>
    <w:p w:rsidR="00F5398E" w:rsidRDefault="00F5398E" w:rsidP="00F5398E">
      <w:pPr>
        <w:spacing w:line="440" w:lineRule="exact"/>
        <w:jc w:val="left"/>
        <w:rPr>
          <w:rFonts w:ascii="宋体" w:hAnsi="宋体" w:cs="宋体" w:hint="eastAsia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2"/>
          <w:kern w:val="0"/>
          <w:sz w:val="24"/>
          <w:szCs w:val="24"/>
        </w:rPr>
        <w:t>1、基本要求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.在</w:t>
      </w: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危险废物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处置资质里有至少</w:t>
      </w: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种</w:t>
      </w:r>
      <w:proofErr w:type="gramStart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不同危废代码</w:t>
      </w:r>
      <w:proofErr w:type="gramEnd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的</w:t>
      </w: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危险废物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处置经验。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.供应商应严格按照相关法律法规对危险废物进行无害化处置，确保赣南医学院实验室废弃物处置过程安全，不发生安全事故，不对环境产生第二次污染。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.供应商承诺向采购人提供相关的技术服务及实验室的</w:t>
      </w: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危险废物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存放指导服务，能在最短的时间内协助采购人处理好</w:t>
      </w: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危险废物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突发事件。</w:t>
      </w:r>
    </w:p>
    <w:p w:rsidR="00F5398E" w:rsidRDefault="00F5398E" w:rsidP="00F5398E">
      <w:pPr>
        <w:spacing w:line="440" w:lineRule="exact"/>
        <w:jc w:val="left"/>
        <w:rPr>
          <w:rFonts w:ascii="宋体" w:hAnsi="宋体" w:cs="宋体" w:hint="eastAsia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2"/>
          <w:kern w:val="0"/>
          <w:sz w:val="24"/>
          <w:szCs w:val="24"/>
        </w:rPr>
        <w:t>2、车辆与人员要求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.供应商应安排废弃物专用</w:t>
      </w:r>
      <w:r>
        <w:rPr>
          <w:rFonts w:ascii="宋体" w:hAnsi="宋体" w:cs="宋体" w:hint="eastAsia"/>
          <w:bCs/>
          <w:spacing w:val="2"/>
          <w:kern w:val="0"/>
          <w:sz w:val="24"/>
          <w:szCs w:val="24"/>
        </w:rPr>
        <w:t>车辆（运输车和转运车）和专业装卸人员，按采购人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的计划收取实验废弃物，提前一天准备好需托运的处置废弃物打包，自行准备搬运设备。应当在采购</w:t>
      </w:r>
      <w:proofErr w:type="gramStart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人区域</w:t>
      </w:r>
      <w:proofErr w:type="gramEnd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内文明作业，保证不影响采购人正常教学和实验。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.运输车辆须为危险废物专用车，驾驶人员具有危货运输驾驶资格，或者与具备危险货物运输资质的单位签订有效的运输协议。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spacing w:val="2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.每次拖运必须派专人到现场指挥，专业装卸人员需持证上岗，能处理服务各环节可能出现的突发问题。专业装卸人员在校园内若操作不当引起的人员损伤、环境污染等问题，一切责任由供应商承担。</w:t>
      </w:r>
    </w:p>
    <w:p w:rsidR="00F5398E" w:rsidRDefault="00F5398E" w:rsidP="00F5398E">
      <w:pPr>
        <w:spacing w:line="440" w:lineRule="exact"/>
        <w:jc w:val="left"/>
        <w:rPr>
          <w:rFonts w:ascii="宋体" w:hAnsi="宋体" w:cs="宋体" w:hint="eastAsia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2"/>
          <w:kern w:val="0"/>
          <w:sz w:val="24"/>
          <w:szCs w:val="24"/>
        </w:rPr>
        <w:t>3、计价要求</w:t>
      </w:r>
    </w:p>
    <w:p w:rsidR="00F5398E" w:rsidRDefault="00F5398E" w:rsidP="00F5398E">
      <w:pPr>
        <w:spacing w:line="440" w:lineRule="exact"/>
        <w:ind w:firstLineChars="200" w:firstLine="488"/>
        <w:jc w:val="left"/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lastRenderedPageBreak/>
        <w:t>废弃物的计重用以双方现场称重或第三</w:t>
      </w:r>
      <w:proofErr w:type="gramStart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方磅单为准</w:t>
      </w:r>
      <w:proofErr w:type="gramEnd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，双方委派工作人员在现场监督，若双方都有过磅，重量浮动在上下 50KG 以内则以采购人附近地磅重量为准。从废弃物存放</w:t>
      </w:r>
      <w:proofErr w:type="gramStart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地点至称重地</w:t>
      </w:r>
      <w:proofErr w:type="gramEnd"/>
      <w:r>
        <w:rPr>
          <w:rFonts w:ascii="宋体" w:hAnsi="宋体" w:cs="宋体" w:hint="eastAsia"/>
          <w:bCs/>
          <w:color w:val="000000"/>
          <w:spacing w:val="2"/>
          <w:kern w:val="0"/>
          <w:sz w:val="24"/>
          <w:szCs w:val="24"/>
        </w:rPr>
        <w:t>点以及处置过程中发生的运输费用均由供应商承担。</w:t>
      </w:r>
    </w:p>
    <w:p w:rsidR="00F5398E" w:rsidRDefault="00F5398E" w:rsidP="00F5398E">
      <w:pPr>
        <w:pStyle w:val="a5"/>
        <w:rPr>
          <w:rFonts w:ascii="宋体" w:hAnsi="宋体" w:hint="eastAsia"/>
          <w:b/>
          <w:sz w:val="24"/>
        </w:rPr>
      </w:pPr>
    </w:p>
    <w:p w:rsidR="00F5398E" w:rsidRDefault="00F5398E" w:rsidP="00F5398E">
      <w:pPr>
        <w:pStyle w:val="a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注：以上“技术要求”为实质性要求，必须完全满足或优于，否则响应无效。</w:t>
      </w:r>
    </w:p>
    <w:bookmarkEnd w:id="5"/>
    <w:p w:rsidR="00F5398E" w:rsidRDefault="00F5398E" w:rsidP="00F5398E">
      <w:pPr>
        <w:spacing w:line="460" w:lineRule="exact"/>
        <w:rPr>
          <w:rFonts w:ascii="宋体" w:hAnsi="宋体" w:cs="宋体" w:hint="eastAsia"/>
          <w:b/>
          <w:bCs/>
          <w:color w:val="000000"/>
          <w:spacing w:val="2"/>
          <w:kern w:val="0"/>
          <w:sz w:val="24"/>
        </w:rPr>
      </w:pPr>
    </w:p>
    <w:p w:rsidR="00EA7EEA" w:rsidRPr="00F5398E" w:rsidRDefault="00EA7EEA">
      <w:bookmarkStart w:id="7" w:name="_GoBack"/>
      <w:bookmarkEnd w:id="7"/>
    </w:p>
    <w:sectPr w:rsidR="00EA7EEA" w:rsidRPr="00F5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8E" w:rsidRDefault="00F5398E" w:rsidP="00F5398E">
      <w:r>
        <w:separator/>
      </w:r>
    </w:p>
  </w:endnote>
  <w:endnote w:type="continuationSeparator" w:id="0">
    <w:p w:rsidR="00F5398E" w:rsidRDefault="00F5398E" w:rsidP="00F5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8E" w:rsidRDefault="00F5398E" w:rsidP="00F5398E">
      <w:r>
        <w:separator/>
      </w:r>
    </w:p>
  </w:footnote>
  <w:footnote w:type="continuationSeparator" w:id="0">
    <w:p w:rsidR="00F5398E" w:rsidRDefault="00F5398E" w:rsidP="00F5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D2"/>
    <w:rsid w:val="00622ED2"/>
    <w:rsid w:val="00EA7EEA"/>
    <w:rsid w:val="00F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539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539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398E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9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39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398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5">
    <w:name w:val="Normal Indent"/>
    <w:basedOn w:val="a"/>
    <w:link w:val="Char1"/>
    <w:qFormat/>
    <w:rsid w:val="00F5398E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Char1">
    <w:name w:val="正文缩进 Char"/>
    <w:link w:val="a5"/>
    <w:rsid w:val="00F5398E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539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539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398E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9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39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398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5">
    <w:name w:val="Normal Indent"/>
    <w:basedOn w:val="a"/>
    <w:link w:val="Char1"/>
    <w:qFormat/>
    <w:rsid w:val="00F5398E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Char1">
    <w:name w:val="正文缩进 Char"/>
    <w:link w:val="a5"/>
    <w:rsid w:val="00F5398E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Organization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2022-06-20T02:09:00Z</dcterms:created>
  <dcterms:modified xsi:type="dcterms:W3CDTF">2022-06-20T02:09:00Z</dcterms:modified>
</cp:coreProperties>
</file>