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00" w:rsidRDefault="00C50900" w:rsidP="00C50900">
      <w:pPr>
        <w:pStyle w:val="1"/>
        <w:spacing w:before="0" w:after="0" w:line="360" w:lineRule="auto"/>
        <w:jc w:val="center"/>
        <w:rPr>
          <w:rFonts w:ascii="宋体" w:hAnsi="宋体" w:hint="eastAsia"/>
          <w:color w:val="000000"/>
          <w:szCs w:val="44"/>
        </w:rPr>
      </w:pPr>
      <w:bookmarkStart w:id="0" w:name="_Toc115278453"/>
      <w:r>
        <w:rPr>
          <w:rFonts w:ascii="宋体" w:hAnsi="宋体" w:hint="eastAsia"/>
          <w:bCs w:val="0"/>
          <w:color w:val="000000"/>
          <w:sz w:val="28"/>
          <w:szCs w:val="28"/>
        </w:rPr>
        <w:t>一、招租需求</w:t>
      </w:r>
      <w:bookmarkEnd w:id="0"/>
    </w:p>
    <w:p w:rsidR="00C50900" w:rsidRDefault="00C50900" w:rsidP="00C50900">
      <w:pPr>
        <w:pStyle w:val="2"/>
        <w:numPr>
          <w:ilvl w:val="0"/>
          <w:numId w:val="0"/>
        </w:numPr>
        <w:spacing w:before="0" w:after="0" w:line="460" w:lineRule="exact"/>
        <w:rPr>
          <w:rFonts w:ascii="宋体" w:eastAsia="宋体" w:hAnsi="宋体" w:hint="eastAsia"/>
          <w:bCs/>
          <w:color w:val="000000"/>
          <w:sz w:val="28"/>
          <w:szCs w:val="28"/>
        </w:rPr>
      </w:pPr>
      <w:bookmarkStart w:id="1" w:name="_Toc115254302"/>
      <w:bookmarkStart w:id="2" w:name="_Toc115278454"/>
      <w:r>
        <w:rPr>
          <w:rFonts w:ascii="宋体" w:eastAsia="宋体" w:hAnsi="宋体" w:hint="eastAsia"/>
          <w:bCs/>
          <w:color w:val="000000"/>
          <w:sz w:val="28"/>
          <w:szCs w:val="28"/>
        </w:rPr>
        <w:t>（一）项目简介</w:t>
      </w:r>
      <w:bookmarkEnd w:id="1"/>
      <w:bookmarkEnd w:id="2"/>
    </w:p>
    <w:p w:rsidR="00C50900" w:rsidRDefault="00C50900" w:rsidP="00C50900">
      <w:pPr>
        <w:ind w:firstLineChars="200" w:firstLine="480"/>
        <w:rPr>
          <w:rFonts w:ascii="宋体" w:hAnsi="宋体" w:cs="宋体"/>
          <w:lang w:bidi="ar"/>
        </w:rPr>
      </w:pPr>
      <w:r>
        <w:rPr>
          <w:rFonts w:ascii="宋体" w:hAnsi="宋体" w:cs="宋体" w:hint="eastAsia"/>
          <w:lang w:bidi="ar"/>
        </w:rPr>
        <w:t>为进一步推进学院店面规范化管理，不断提高服务水平和服务质量，更好的服务师生，提高管理效能，本次招标内容为</w:t>
      </w:r>
      <w:r>
        <w:rPr>
          <w:rFonts w:ascii="宋体" w:hAnsi="宋体" w:hint="eastAsia"/>
        </w:rPr>
        <w:t>南昌大学前湖校区北院后勤服务大楼二楼商业综合体经营权招标项目</w:t>
      </w:r>
      <w:r>
        <w:rPr>
          <w:rFonts w:ascii="宋体" w:hAnsi="宋体" w:cs="宋体" w:hint="eastAsia"/>
          <w:lang w:bidi="ar"/>
        </w:rPr>
        <w:t>招标，经营期限为5年+3年模式。欢迎有品牌影响力、信誉好且符合资格条件的企业报名参加。</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1225"/>
        <w:gridCol w:w="1807"/>
        <w:gridCol w:w="1100"/>
        <w:gridCol w:w="1472"/>
      </w:tblGrid>
      <w:tr w:rsidR="00C50900" w:rsidTr="00DD2E56">
        <w:trPr>
          <w:trHeight w:val="556"/>
        </w:trPr>
        <w:tc>
          <w:tcPr>
            <w:tcW w:w="1710" w:type="pct"/>
            <w:vAlign w:val="center"/>
          </w:tcPr>
          <w:p w:rsidR="00C50900" w:rsidRDefault="00C50900" w:rsidP="00DD2E56">
            <w:pPr>
              <w:tabs>
                <w:tab w:val="left" w:pos="1366"/>
                <w:tab w:val="center" w:pos="2061"/>
              </w:tabs>
              <w:spacing w:line="360" w:lineRule="auto"/>
              <w:jc w:val="center"/>
              <w:rPr>
                <w:rFonts w:ascii="宋体" w:hAnsi="宋体" w:cs="宋体"/>
                <w:b/>
                <w:bCs/>
              </w:rPr>
            </w:pPr>
            <w:bookmarkStart w:id="3" w:name="_Toc115254303"/>
            <w:r>
              <w:rPr>
                <w:rFonts w:ascii="宋体" w:hAnsi="宋体" w:cs="宋体" w:hint="eastAsia"/>
                <w:b/>
                <w:bCs/>
              </w:rPr>
              <w:t>经营区域</w:t>
            </w:r>
          </w:p>
        </w:tc>
        <w:tc>
          <w:tcPr>
            <w:tcW w:w="719" w:type="pct"/>
            <w:vAlign w:val="center"/>
          </w:tcPr>
          <w:p w:rsidR="00C50900" w:rsidRDefault="00C50900" w:rsidP="00DD2E56">
            <w:pPr>
              <w:spacing w:line="360" w:lineRule="auto"/>
              <w:jc w:val="center"/>
              <w:rPr>
                <w:rFonts w:ascii="宋体" w:hAnsi="宋体" w:cs="宋体" w:hint="eastAsia"/>
                <w:b/>
                <w:bCs/>
              </w:rPr>
            </w:pPr>
            <w:r>
              <w:rPr>
                <w:rFonts w:ascii="宋体" w:hAnsi="宋体" w:cs="宋体" w:hint="eastAsia"/>
                <w:b/>
                <w:bCs/>
              </w:rPr>
              <w:t>经营项目</w:t>
            </w:r>
          </w:p>
        </w:tc>
        <w:tc>
          <w:tcPr>
            <w:tcW w:w="1061" w:type="pct"/>
            <w:vAlign w:val="center"/>
          </w:tcPr>
          <w:p w:rsidR="00C50900" w:rsidRPr="009E67B6" w:rsidRDefault="00C50900" w:rsidP="00DD2E56">
            <w:pPr>
              <w:spacing w:line="360" w:lineRule="auto"/>
              <w:jc w:val="center"/>
              <w:rPr>
                <w:rFonts w:ascii="宋体" w:hAnsi="宋体" w:cs="宋体" w:hint="eastAsia"/>
                <w:b/>
                <w:bCs/>
              </w:rPr>
            </w:pPr>
            <w:r w:rsidRPr="009E67B6">
              <w:rPr>
                <w:rFonts w:ascii="宋体" w:hAnsi="宋体" w:cs="宋体" w:hint="eastAsia"/>
                <w:b/>
                <w:bCs/>
              </w:rPr>
              <w:t>经营期限</w:t>
            </w:r>
          </w:p>
        </w:tc>
        <w:tc>
          <w:tcPr>
            <w:tcW w:w="646" w:type="pct"/>
            <w:vAlign w:val="center"/>
          </w:tcPr>
          <w:p w:rsidR="00C50900" w:rsidRDefault="00C50900" w:rsidP="00DD2E56">
            <w:pPr>
              <w:spacing w:line="360" w:lineRule="auto"/>
              <w:jc w:val="center"/>
              <w:rPr>
                <w:rFonts w:ascii="宋体" w:hAnsi="宋体" w:cs="宋体" w:hint="eastAsia"/>
                <w:b/>
                <w:bCs/>
              </w:rPr>
            </w:pPr>
            <w:r>
              <w:rPr>
                <w:rFonts w:ascii="宋体" w:hAnsi="宋体" w:cs="宋体" w:hint="eastAsia"/>
                <w:b/>
                <w:bCs/>
              </w:rPr>
              <w:t>面积</w:t>
            </w:r>
          </w:p>
          <w:p w:rsidR="00C50900" w:rsidRDefault="00C50900" w:rsidP="00DD2E56">
            <w:pPr>
              <w:spacing w:line="360" w:lineRule="auto"/>
              <w:jc w:val="center"/>
              <w:rPr>
                <w:rFonts w:ascii="宋体" w:hAnsi="宋体" w:cs="宋体"/>
              </w:rPr>
            </w:pPr>
            <w:r>
              <w:rPr>
                <w:rFonts w:ascii="宋体" w:hAnsi="宋体" w:cs="宋体" w:hint="eastAsia"/>
                <w:b/>
                <w:bCs/>
              </w:rPr>
              <w:t>（㎡）</w:t>
            </w:r>
          </w:p>
        </w:tc>
        <w:tc>
          <w:tcPr>
            <w:tcW w:w="864" w:type="pct"/>
            <w:vAlign w:val="center"/>
          </w:tcPr>
          <w:p w:rsidR="00C50900" w:rsidRDefault="00C50900" w:rsidP="00DD2E56">
            <w:pPr>
              <w:spacing w:line="360" w:lineRule="auto"/>
              <w:jc w:val="center"/>
              <w:rPr>
                <w:rFonts w:ascii="宋体" w:hAnsi="宋体" w:cs="宋体"/>
                <w:b/>
                <w:bCs/>
              </w:rPr>
            </w:pPr>
            <w:r w:rsidRPr="009E67B6">
              <w:rPr>
                <w:rFonts w:ascii="宋体" w:hAnsi="宋体" w:cs="宋体" w:hint="eastAsia"/>
                <w:b/>
                <w:bCs/>
              </w:rPr>
              <w:t>租金</w:t>
            </w:r>
            <w:r>
              <w:rPr>
                <w:rFonts w:ascii="宋体" w:hAnsi="宋体" w:cs="宋体" w:hint="eastAsia"/>
                <w:b/>
                <w:bCs/>
              </w:rPr>
              <w:t>最低限价</w:t>
            </w:r>
          </w:p>
          <w:p w:rsidR="00C50900" w:rsidRDefault="00C50900" w:rsidP="00DD2E56">
            <w:pPr>
              <w:spacing w:line="360" w:lineRule="auto"/>
              <w:jc w:val="center"/>
              <w:rPr>
                <w:rFonts w:ascii="宋体" w:hAnsi="宋体" w:cs="宋体"/>
                <w:b/>
                <w:bCs/>
              </w:rPr>
            </w:pPr>
            <w:r>
              <w:rPr>
                <w:rFonts w:ascii="宋体" w:hAnsi="宋体" w:cs="宋体" w:hint="eastAsia"/>
                <w:b/>
                <w:bCs/>
              </w:rPr>
              <w:t>（元/月/㎡）</w:t>
            </w:r>
          </w:p>
        </w:tc>
      </w:tr>
      <w:tr w:rsidR="00C50900" w:rsidTr="00DD2E56">
        <w:trPr>
          <w:trHeight w:val="1193"/>
        </w:trPr>
        <w:tc>
          <w:tcPr>
            <w:tcW w:w="1710" w:type="pct"/>
            <w:vAlign w:val="center"/>
          </w:tcPr>
          <w:p w:rsidR="00C50900" w:rsidRDefault="00C50900" w:rsidP="00DD2E56">
            <w:pPr>
              <w:jc w:val="center"/>
              <w:rPr>
                <w:rFonts w:ascii="宋体" w:hAnsi="宋体" w:cs="宋体"/>
                <w:bCs/>
              </w:rPr>
            </w:pPr>
            <w:r>
              <w:rPr>
                <w:rFonts w:ascii="宋体" w:hAnsi="宋体" w:hint="eastAsia"/>
                <w:bCs/>
                <w:spacing w:val="10"/>
              </w:rPr>
              <w:t>北院后勤服务大楼二楼商业综合体</w:t>
            </w:r>
          </w:p>
        </w:tc>
        <w:tc>
          <w:tcPr>
            <w:tcW w:w="719" w:type="pct"/>
            <w:vAlign w:val="center"/>
          </w:tcPr>
          <w:p w:rsidR="00C50900" w:rsidRDefault="00C50900" w:rsidP="00DD2E56">
            <w:pPr>
              <w:jc w:val="center"/>
              <w:rPr>
                <w:rFonts w:ascii="宋体" w:hAnsi="宋体" w:hint="eastAsia"/>
                <w:bCs/>
                <w:spacing w:val="10"/>
              </w:rPr>
            </w:pPr>
            <w:r>
              <w:rPr>
                <w:rFonts w:ascii="宋体" w:hAnsi="宋体" w:hint="eastAsia"/>
                <w:bCs/>
                <w:spacing w:val="10"/>
              </w:rPr>
              <w:t>商业</w:t>
            </w:r>
          </w:p>
          <w:p w:rsidR="00C50900" w:rsidRDefault="00C50900" w:rsidP="00DD2E56">
            <w:pPr>
              <w:jc w:val="center"/>
              <w:rPr>
                <w:rFonts w:ascii="宋体" w:hAnsi="宋体" w:hint="eastAsia"/>
                <w:bCs/>
                <w:spacing w:val="10"/>
              </w:rPr>
            </w:pPr>
            <w:r>
              <w:rPr>
                <w:rFonts w:ascii="宋体" w:hAnsi="宋体" w:hint="eastAsia"/>
                <w:bCs/>
                <w:spacing w:val="10"/>
              </w:rPr>
              <w:t>综合体</w:t>
            </w:r>
          </w:p>
        </w:tc>
        <w:tc>
          <w:tcPr>
            <w:tcW w:w="1061" w:type="pct"/>
            <w:vAlign w:val="center"/>
          </w:tcPr>
          <w:p w:rsidR="00C50900" w:rsidRPr="009E67B6" w:rsidRDefault="00C50900" w:rsidP="00DD2E56">
            <w:pPr>
              <w:jc w:val="center"/>
              <w:rPr>
                <w:rFonts w:ascii="宋体" w:hAnsi="宋体" w:hint="eastAsia"/>
                <w:bCs/>
                <w:spacing w:val="10"/>
              </w:rPr>
            </w:pPr>
            <w:r w:rsidRPr="009E67B6">
              <w:rPr>
                <w:rFonts w:ascii="宋体" w:hAnsi="宋体" w:hint="eastAsia"/>
                <w:bCs/>
                <w:spacing w:val="10"/>
              </w:rPr>
              <w:t>5年+3年</w:t>
            </w:r>
            <w:r>
              <w:rPr>
                <w:rFonts w:ascii="宋体" w:hAnsi="宋体" w:hint="eastAsia"/>
                <w:bCs/>
                <w:spacing w:val="10"/>
              </w:rPr>
              <w:t>模式</w:t>
            </w:r>
          </w:p>
        </w:tc>
        <w:tc>
          <w:tcPr>
            <w:tcW w:w="646" w:type="pct"/>
            <w:vAlign w:val="center"/>
          </w:tcPr>
          <w:p w:rsidR="00C50900" w:rsidRDefault="00C50900" w:rsidP="00DD2E56">
            <w:pPr>
              <w:jc w:val="center"/>
              <w:rPr>
                <w:rFonts w:ascii="宋体" w:hAnsi="宋体" w:cs="宋体"/>
              </w:rPr>
            </w:pPr>
            <w:r>
              <w:rPr>
                <w:rFonts w:ascii="宋体" w:hAnsi="宋体" w:hint="eastAsia"/>
                <w:bCs/>
                <w:spacing w:val="10"/>
              </w:rPr>
              <w:t>833.6</w:t>
            </w:r>
          </w:p>
        </w:tc>
        <w:tc>
          <w:tcPr>
            <w:tcW w:w="864" w:type="pct"/>
            <w:vAlign w:val="center"/>
          </w:tcPr>
          <w:p w:rsidR="00C50900" w:rsidRDefault="00C50900" w:rsidP="00DD2E56">
            <w:pPr>
              <w:jc w:val="center"/>
              <w:rPr>
                <w:rFonts w:ascii="宋体" w:hAnsi="宋体"/>
                <w:bCs/>
                <w:spacing w:val="10"/>
              </w:rPr>
            </w:pPr>
            <w:r>
              <w:rPr>
                <w:rFonts w:ascii="宋体" w:hAnsi="宋体" w:hint="eastAsia"/>
                <w:bCs/>
                <w:spacing w:val="10"/>
              </w:rPr>
              <w:t>60</w:t>
            </w:r>
          </w:p>
        </w:tc>
      </w:tr>
    </w:tbl>
    <w:p w:rsidR="00C50900" w:rsidRDefault="00C50900" w:rsidP="00C50900">
      <w:pPr>
        <w:pStyle w:val="2"/>
        <w:numPr>
          <w:ilvl w:val="0"/>
          <w:numId w:val="0"/>
        </w:numPr>
        <w:spacing w:before="0" w:after="0" w:line="460" w:lineRule="exact"/>
        <w:rPr>
          <w:rFonts w:ascii="宋体" w:eastAsia="宋体" w:hAnsi="宋体" w:hint="eastAsia"/>
          <w:bCs/>
          <w:color w:val="000000"/>
          <w:sz w:val="28"/>
          <w:szCs w:val="28"/>
        </w:rPr>
      </w:pPr>
      <w:bookmarkStart w:id="4" w:name="_Toc115278455"/>
      <w:r>
        <w:rPr>
          <w:rFonts w:ascii="宋体" w:eastAsia="宋体" w:hAnsi="宋体" w:hint="eastAsia"/>
          <w:bCs/>
          <w:color w:val="000000"/>
          <w:sz w:val="28"/>
          <w:szCs w:val="28"/>
        </w:rPr>
        <w:t>（二）经营基本要求</w:t>
      </w:r>
      <w:bookmarkEnd w:id="3"/>
      <w:bookmarkEnd w:id="4"/>
    </w:p>
    <w:p w:rsidR="00C50900" w:rsidRDefault="00C50900" w:rsidP="00C50900">
      <w:pPr>
        <w:ind w:firstLineChars="200" w:firstLine="480"/>
        <w:rPr>
          <w:rFonts w:ascii="宋体" w:hAnsi="宋体" w:cs="宋体"/>
        </w:rPr>
      </w:pPr>
      <w:r>
        <w:rPr>
          <w:rFonts w:ascii="宋体" w:hAnsi="宋体" w:cs="宋体" w:hint="eastAsia"/>
        </w:rPr>
        <w:t>1、投标人负责超市的全部经营性资金投入，并根据招标文件的要求独立进行经营。</w:t>
      </w:r>
    </w:p>
    <w:p w:rsidR="00C50900" w:rsidRDefault="00C50900" w:rsidP="00C50900">
      <w:pPr>
        <w:ind w:firstLineChars="200" w:firstLine="480"/>
        <w:rPr>
          <w:rFonts w:ascii="宋体" w:hAnsi="宋体" w:cs="宋体"/>
        </w:rPr>
      </w:pPr>
      <w:r>
        <w:rPr>
          <w:rFonts w:ascii="宋体" w:hAnsi="宋体" w:cs="宋体" w:hint="eastAsia"/>
        </w:rPr>
        <w:t>2、投标人不得进行任何形式买卖、转让、转包、转租、分包、分租，否则招标人有权要求终止合同，并由投标人承担违约和赔偿责任；</w:t>
      </w:r>
    </w:p>
    <w:p w:rsidR="00C50900" w:rsidRDefault="00C50900" w:rsidP="00C50900">
      <w:pPr>
        <w:ind w:firstLineChars="200" w:firstLine="480"/>
        <w:rPr>
          <w:rFonts w:ascii="宋体" w:hAnsi="宋体" w:cs="宋体"/>
        </w:rPr>
      </w:pPr>
      <w:r>
        <w:rPr>
          <w:rFonts w:ascii="宋体" w:hAnsi="宋体" w:cs="宋体" w:hint="eastAsia"/>
        </w:rPr>
        <w:t>3、投标人应遵守学校的规章制度，保证学校工作正常进行，服从学校后勤管理处的管理和监督，具有沟通协调能力，能正确及时解决经营中的各种矛盾冲突。</w:t>
      </w:r>
    </w:p>
    <w:p w:rsidR="00C50900" w:rsidRDefault="00C50900" w:rsidP="00C50900">
      <w:pPr>
        <w:ind w:firstLineChars="200" w:firstLine="480"/>
        <w:rPr>
          <w:rFonts w:ascii="宋体" w:hAnsi="宋体" w:cs="宋体"/>
          <w:bCs/>
          <w:highlight w:val="yellow"/>
        </w:rPr>
      </w:pPr>
      <w:r>
        <w:rPr>
          <w:rFonts w:ascii="宋体" w:hAnsi="宋体" w:cs="宋体" w:hint="eastAsia"/>
        </w:rPr>
        <w:t>4、投标人工作人员必须符合国家有关</w:t>
      </w:r>
      <w:r>
        <w:rPr>
          <w:rFonts w:ascii="宋体" w:hAnsi="宋体" w:cs="宋体" w:hint="eastAsia"/>
          <w:bCs/>
        </w:rPr>
        <w:t>商业综合体</w:t>
      </w:r>
      <w:r>
        <w:rPr>
          <w:rFonts w:ascii="宋体" w:hAnsi="宋体" w:cs="宋体" w:hint="eastAsia"/>
        </w:rPr>
        <w:t>从业人员的规定，具有健康证和职业资格证及享有各项社会保险。超市承包负责人与聘用人员签订劳动合同支付劳动报酬并按期足额缴纳社会保险，学校不承担超市承包经营负责人与员工之间的劳务纠纷责任。</w:t>
      </w:r>
    </w:p>
    <w:p w:rsidR="00C50900" w:rsidRDefault="00C50900" w:rsidP="00C50900">
      <w:pPr>
        <w:ind w:firstLineChars="200" w:firstLine="480"/>
        <w:rPr>
          <w:rFonts w:ascii="宋体" w:hAnsi="宋体" w:cs="宋体"/>
        </w:rPr>
      </w:pPr>
      <w:r>
        <w:rPr>
          <w:rFonts w:ascii="宋体" w:hAnsi="宋体" w:cs="宋体" w:hint="eastAsia"/>
        </w:rPr>
        <w:t>5、投标人按照经营要求独立经营超市，自行承担超市的经营风险；招标人按照约定提供超市经营用房，收取固定费用，不得对投标人的经营活动进行不合理干预，不承担经营风险责任。投标人自行组织经营，新上经营项目必须经学校审批。</w:t>
      </w:r>
    </w:p>
    <w:p w:rsidR="00C50900" w:rsidRDefault="00C50900" w:rsidP="00C50900">
      <w:pPr>
        <w:ind w:firstLineChars="200" w:firstLine="480"/>
        <w:rPr>
          <w:rFonts w:ascii="宋体" w:hAnsi="宋体" w:cs="宋体"/>
          <w:bCs/>
          <w:highlight w:val="yellow"/>
        </w:rPr>
      </w:pPr>
      <w:r>
        <w:rPr>
          <w:rFonts w:ascii="宋体" w:hAnsi="宋体" w:cs="宋体" w:hint="eastAsia"/>
        </w:rPr>
        <w:t>6、</w:t>
      </w:r>
      <w:r>
        <w:rPr>
          <w:rFonts w:ascii="宋体" w:hAnsi="宋体" w:cs="宋体" w:hint="eastAsia"/>
          <w:bCs/>
        </w:rPr>
        <w:t>商业综合体</w:t>
      </w:r>
      <w:r>
        <w:rPr>
          <w:rFonts w:ascii="宋体" w:hAnsi="宋体" w:cs="宋体" w:hint="eastAsia"/>
        </w:rPr>
        <w:t>水电费由投标人自行承担；学校负责水电暖供应，水、电单</w:t>
      </w:r>
      <w:r>
        <w:rPr>
          <w:rFonts w:ascii="宋体" w:hAnsi="宋体" w:cs="宋体" w:hint="eastAsia"/>
        </w:rPr>
        <w:lastRenderedPageBreak/>
        <w:t>独计量，采暖按经营面积计算，</w:t>
      </w:r>
      <w:proofErr w:type="gramStart"/>
      <w:r>
        <w:rPr>
          <w:rFonts w:ascii="宋体" w:hAnsi="宋体" w:cs="宋体" w:hint="eastAsia"/>
        </w:rPr>
        <w:t>水电暖均按照</w:t>
      </w:r>
      <w:proofErr w:type="gramEnd"/>
      <w:r>
        <w:rPr>
          <w:rFonts w:ascii="宋体" w:hAnsi="宋体" w:cs="宋体" w:hint="eastAsia"/>
          <w:bCs/>
        </w:rPr>
        <w:t>南昌市</w:t>
      </w:r>
      <w:r>
        <w:rPr>
          <w:rFonts w:ascii="宋体" w:hAnsi="宋体" w:cs="宋体" w:hint="eastAsia"/>
        </w:rPr>
        <w:t>商用标准价格收取。</w:t>
      </w:r>
    </w:p>
    <w:p w:rsidR="00C50900" w:rsidRDefault="00C50900" w:rsidP="00C50900">
      <w:pPr>
        <w:ind w:firstLineChars="200" w:firstLine="480"/>
        <w:rPr>
          <w:rFonts w:ascii="宋体" w:hAnsi="宋体" w:cs="宋体"/>
        </w:rPr>
      </w:pPr>
      <w:r>
        <w:rPr>
          <w:rFonts w:ascii="宋体" w:hAnsi="宋体" w:cs="宋体" w:hint="eastAsia"/>
        </w:rPr>
        <w:t>7、按照学校统一管理的要求，学校提供的“一卡通”收款设施和一定数量的卡机，卡机损坏后的维修与更新和新增所需资金由投标人承担。</w:t>
      </w:r>
    </w:p>
    <w:p w:rsidR="00C50900" w:rsidRDefault="00C50900" w:rsidP="00C50900">
      <w:pPr>
        <w:ind w:firstLineChars="200" w:firstLine="480"/>
        <w:rPr>
          <w:rFonts w:ascii="宋体" w:hAnsi="宋体" w:cs="宋体"/>
        </w:rPr>
      </w:pPr>
      <w:r>
        <w:rPr>
          <w:rFonts w:ascii="宋体" w:hAnsi="宋体" w:cs="宋体" w:hint="eastAsia"/>
        </w:rPr>
        <w:t>8、投标人应保护好超市房屋（含门窗），承担装修与经营设施所需费用的投入，投标人的原因造成本合同终止或本期合同到期终止，投标人不得破坏装修形成的不动产，学校也不给予任何形式的经济补偿。投标人要按照学校的统一规划提出书面装修方案，经学校审批后方可实施，实施过程中如确需修改方案，需报经学校批准后实施。</w:t>
      </w:r>
    </w:p>
    <w:p w:rsidR="00C50900" w:rsidRDefault="00C50900" w:rsidP="00C50900">
      <w:pPr>
        <w:ind w:firstLineChars="200" w:firstLine="480"/>
        <w:rPr>
          <w:rFonts w:ascii="宋体" w:hAnsi="宋体" w:cs="宋体"/>
        </w:rPr>
      </w:pPr>
      <w:r>
        <w:rPr>
          <w:rFonts w:ascii="宋体" w:hAnsi="宋体" w:cs="宋体" w:hint="eastAsia"/>
        </w:rPr>
        <w:t>9、学校负责超市外部周围区域安全，超市内部的安全、消防安全由经营方负责。除学校配备的现有消防设施外，根据消防安全的要求，需要配备的消防器材由投标人承担。</w:t>
      </w:r>
    </w:p>
    <w:p w:rsidR="00C50900" w:rsidRDefault="00C50900" w:rsidP="00C50900">
      <w:pPr>
        <w:ind w:firstLineChars="200" w:firstLine="480"/>
        <w:rPr>
          <w:rFonts w:ascii="宋体" w:hAnsi="宋体" w:cs="宋体"/>
        </w:rPr>
      </w:pPr>
      <w:r>
        <w:rPr>
          <w:rFonts w:ascii="宋体" w:hAnsi="宋体" w:cs="宋体" w:hint="eastAsia"/>
        </w:rPr>
        <w:t>10、投标人负责经营场所内和场所附近的卫生保洁。</w:t>
      </w:r>
      <w:bookmarkStart w:id="5" w:name="_GoBack"/>
      <w:bookmarkEnd w:id="5"/>
    </w:p>
    <w:p w:rsidR="00C50900" w:rsidRDefault="00C50900" w:rsidP="00C50900">
      <w:pPr>
        <w:ind w:firstLineChars="200" w:firstLine="480"/>
        <w:rPr>
          <w:rFonts w:ascii="宋体" w:hAnsi="宋体" w:cs="宋体"/>
        </w:rPr>
      </w:pPr>
      <w:r>
        <w:rPr>
          <w:rFonts w:ascii="宋体" w:hAnsi="宋体" w:cs="宋体" w:hint="eastAsia"/>
        </w:rPr>
        <w:t>11、投标人必须遵守学校的有关管理办法和规定，投标人出入学校校园的机动车和非机动车，按照</w:t>
      </w:r>
      <w:r>
        <w:rPr>
          <w:rFonts w:ascii="宋体" w:hAnsi="宋体" w:cs="宋体" w:hint="eastAsia"/>
          <w:b/>
        </w:rPr>
        <w:t>《</w:t>
      </w:r>
      <w:r>
        <w:rPr>
          <w:rFonts w:ascii="宋体" w:hAnsi="宋体" w:cs="宋体" w:hint="eastAsia"/>
          <w:b/>
          <w:bCs/>
        </w:rPr>
        <w:t>南昌大学前湖校区北院</w:t>
      </w:r>
      <w:r>
        <w:rPr>
          <w:rFonts w:ascii="宋体" w:hAnsi="宋体" w:cs="宋体" w:hint="eastAsia"/>
          <w:b/>
        </w:rPr>
        <w:t>出入车辆管理办法》</w:t>
      </w:r>
      <w:r>
        <w:rPr>
          <w:rFonts w:ascii="宋体" w:hAnsi="宋体" w:cs="宋体" w:hint="eastAsia"/>
        </w:rPr>
        <w:t>执行。</w:t>
      </w:r>
    </w:p>
    <w:p w:rsidR="00C50900" w:rsidRDefault="00C50900" w:rsidP="00C50900">
      <w:pPr>
        <w:ind w:firstLineChars="200" w:firstLine="480"/>
        <w:rPr>
          <w:rFonts w:ascii="宋体" w:hAnsi="宋体" w:hint="eastAsia"/>
          <w:bCs/>
          <w:color w:val="000000"/>
        </w:rPr>
      </w:pPr>
      <w:r>
        <w:rPr>
          <w:rFonts w:ascii="宋体" w:hAnsi="宋体" w:cs="宋体" w:hint="eastAsia"/>
        </w:rPr>
        <w:t>12、投标人须遵守国家和政府有关经营法规，并采取有效措施禁止引进和销售假冒伪劣商品、禁止销售已过保鲜期或质保期的食品；自觉承担因商品质量问题发生的经营纠纷与责任。经营期间与第三方发生的经济纠纷自行解决</w:t>
      </w:r>
      <w:r>
        <w:rPr>
          <w:rFonts w:ascii="宋体" w:hAnsi="宋体" w:hint="eastAsia"/>
          <w:bCs/>
          <w:color w:val="000000"/>
        </w:rPr>
        <w:t>。</w:t>
      </w:r>
    </w:p>
    <w:p w:rsidR="00C50900" w:rsidRDefault="00C50900" w:rsidP="00C50900">
      <w:pPr>
        <w:ind w:firstLineChars="200" w:firstLine="480"/>
        <w:rPr>
          <w:rFonts w:ascii="宋体" w:hAnsi="宋体" w:cs="宋体" w:hint="eastAsia"/>
        </w:rPr>
      </w:pPr>
      <w:r>
        <w:rPr>
          <w:rFonts w:ascii="宋体" w:hAnsi="宋体" w:cs="宋体" w:hint="eastAsia"/>
        </w:rPr>
        <w:t>13、在经营过程中不得使用明火和除空调、冰箱、冰柜外的其他大功率设备；不得经营餐饮类食品（如包子、馄饨、大饼、面条、炒菜、稀饭、烧烤等非包装食品）；不得经营网吧、游戏厅等，严禁超范围经营。</w:t>
      </w:r>
    </w:p>
    <w:p w:rsidR="00C50900" w:rsidRDefault="00C50900" w:rsidP="00C50900">
      <w:pPr>
        <w:rPr>
          <w:rFonts w:ascii="宋体" w:hAnsi="宋体" w:cs="宋体" w:hint="eastAsia"/>
          <w:b/>
          <w:bCs/>
          <w:color w:val="000000"/>
          <w:spacing w:val="2"/>
          <w:kern w:val="0"/>
        </w:rPr>
      </w:pPr>
    </w:p>
    <w:p w:rsidR="00C50900" w:rsidRDefault="00C50900" w:rsidP="00C50900">
      <w:pPr>
        <w:rPr>
          <w:rFonts w:ascii="宋体" w:hAnsi="宋体" w:cs="宋体" w:hint="eastAsia"/>
          <w:b/>
          <w:bCs/>
          <w:color w:val="000000"/>
          <w:spacing w:val="2"/>
          <w:kern w:val="0"/>
        </w:rPr>
      </w:pPr>
      <w:r>
        <w:rPr>
          <w:rFonts w:ascii="宋体" w:hAnsi="宋体" w:cs="宋体" w:hint="eastAsia"/>
          <w:b/>
          <w:bCs/>
          <w:color w:val="000000"/>
          <w:spacing w:val="2"/>
          <w:kern w:val="0"/>
        </w:rPr>
        <w:t>注：以上“招租需求”为实质性条款须完全响应，否则投标无效。</w:t>
      </w:r>
    </w:p>
    <w:p w:rsidR="005A550C" w:rsidRPr="00C50900" w:rsidRDefault="005A550C"/>
    <w:sectPr w:rsidR="005A550C" w:rsidRPr="00C50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432"/>
        </w:tabs>
        <w:ind w:left="432" w:hanging="432"/>
      </w:pPr>
      <w:rPr>
        <w:rFonts w:hint="eastAsia"/>
      </w:rPr>
    </w:lvl>
    <w:lvl w:ilvl="1">
      <w:start w:val="1"/>
      <w:numFmt w:val="decimal"/>
      <w:suff w:val="space"/>
      <w:lvlText w:val="第%2章 "/>
      <w:lvlJc w:val="right"/>
      <w:pPr>
        <w:ind w:left="576" w:hanging="576"/>
      </w:pPr>
      <w:rPr>
        <w:rFonts w:cs="Times New Roman" w:hint="default"/>
        <w:bCs w:val="0"/>
        <w:i w:val="0"/>
        <w:iCs w:val="0"/>
        <w:caps w:val="0"/>
        <w:smallCaps w:val="0"/>
        <w:outline w:val="0"/>
        <w:shadow w:val="0"/>
        <w:emboss w:val="0"/>
        <w:imprint w:val="0"/>
        <w:vanish w:val="0"/>
        <w:spacing w:val="0"/>
        <w:kern w:val="0"/>
        <w:position w:val="0"/>
        <w:sz w:val="28"/>
        <w:u w:val="none"/>
        <w:vertAlign w:val="baseline"/>
      </w:rPr>
    </w:lvl>
    <w:lvl w:ilvl="2">
      <w:start w:val="1"/>
      <w:numFmt w:val="decimal"/>
      <w:lvlText w:val="2.%3"/>
      <w:lvlJc w:val="left"/>
      <w:pPr>
        <w:tabs>
          <w:tab w:val="num" w:pos="1080"/>
        </w:tabs>
        <w:ind w:left="1080" w:hanging="720"/>
      </w:pPr>
      <w:rPr>
        <w:rFonts w:hint="eastAsia"/>
      </w:rPr>
    </w:lvl>
    <w:lvl w:ilvl="3">
      <w:start w:val="1"/>
      <w:numFmt w:val="decimal"/>
      <w:lvlText w:val="2.%4"/>
      <w:lvlJc w:val="left"/>
      <w:pPr>
        <w:tabs>
          <w:tab w:val="num" w:pos="1330"/>
        </w:tabs>
        <w:ind w:left="1330" w:hanging="864"/>
      </w:pPr>
      <w:rPr>
        <w:rFonts w:hint="eastAsia"/>
      </w:rPr>
    </w:lvl>
    <w:lvl w:ilvl="4">
      <w:start w:val="1"/>
      <w:numFmt w:val="decimal"/>
      <w:lvlText w:val="%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F2"/>
    <w:rsid w:val="005A550C"/>
    <w:rsid w:val="00C50900"/>
    <w:rsid w:val="00DC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50900"/>
    <w:pPr>
      <w:widowControl w:val="0"/>
      <w:spacing w:line="460" w:lineRule="exact"/>
    </w:pPr>
    <w:rPr>
      <w:rFonts w:ascii="Times New Roman" w:eastAsia="宋体" w:hAnsi="Times New Roman" w:cs="Times New Roman"/>
      <w:sz w:val="24"/>
      <w:szCs w:val="24"/>
    </w:rPr>
  </w:style>
  <w:style w:type="paragraph" w:styleId="1">
    <w:name w:val="heading 1"/>
    <w:basedOn w:val="a"/>
    <w:next w:val="a"/>
    <w:link w:val="1Char"/>
    <w:qFormat/>
    <w:rsid w:val="00C50900"/>
    <w:pPr>
      <w:keepNext/>
      <w:keepLines/>
      <w:spacing w:before="340" w:after="330" w:line="578" w:lineRule="auto"/>
      <w:jc w:val="both"/>
      <w:outlineLvl w:val="0"/>
    </w:pPr>
    <w:rPr>
      <w:b/>
      <w:bCs/>
      <w:kern w:val="44"/>
      <w:sz w:val="44"/>
    </w:rPr>
  </w:style>
  <w:style w:type="paragraph" w:styleId="2">
    <w:name w:val="heading 2"/>
    <w:basedOn w:val="a"/>
    <w:next w:val="a"/>
    <w:link w:val="2Char"/>
    <w:qFormat/>
    <w:rsid w:val="00C50900"/>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50900"/>
    <w:rPr>
      <w:rFonts w:ascii="Times New Roman" w:eastAsia="宋体" w:hAnsi="Times New Roman" w:cs="Times New Roman"/>
      <w:b/>
      <w:bCs/>
      <w:kern w:val="44"/>
      <w:sz w:val="44"/>
      <w:szCs w:val="24"/>
    </w:rPr>
  </w:style>
  <w:style w:type="character" w:customStyle="1" w:styleId="2Char">
    <w:name w:val="标题 2 Char"/>
    <w:basedOn w:val="a0"/>
    <w:link w:val="2"/>
    <w:rsid w:val="00C50900"/>
    <w:rPr>
      <w:rFonts w:ascii="Arial" w:eastAsia="黑体" w:hAnsi="Arial" w:cs="Times New Roman"/>
      <w:b/>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50900"/>
    <w:pPr>
      <w:widowControl w:val="0"/>
      <w:spacing w:line="460" w:lineRule="exact"/>
    </w:pPr>
    <w:rPr>
      <w:rFonts w:ascii="Times New Roman" w:eastAsia="宋体" w:hAnsi="Times New Roman" w:cs="Times New Roman"/>
      <w:sz w:val="24"/>
      <w:szCs w:val="24"/>
    </w:rPr>
  </w:style>
  <w:style w:type="paragraph" w:styleId="1">
    <w:name w:val="heading 1"/>
    <w:basedOn w:val="a"/>
    <w:next w:val="a"/>
    <w:link w:val="1Char"/>
    <w:qFormat/>
    <w:rsid w:val="00C50900"/>
    <w:pPr>
      <w:keepNext/>
      <w:keepLines/>
      <w:spacing w:before="340" w:after="330" w:line="578" w:lineRule="auto"/>
      <w:jc w:val="both"/>
      <w:outlineLvl w:val="0"/>
    </w:pPr>
    <w:rPr>
      <w:b/>
      <w:bCs/>
      <w:kern w:val="44"/>
      <w:sz w:val="44"/>
    </w:rPr>
  </w:style>
  <w:style w:type="paragraph" w:styleId="2">
    <w:name w:val="heading 2"/>
    <w:basedOn w:val="a"/>
    <w:next w:val="a"/>
    <w:link w:val="2Char"/>
    <w:qFormat/>
    <w:rsid w:val="00C50900"/>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50900"/>
    <w:rPr>
      <w:rFonts w:ascii="Times New Roman" w:eastAsia="宋体" w:hAnsi="Times New Roman" w:cs="Times New Roman"/>
      <w:b/>
      <w:bCs/>
      <w:kern w:val="44"/>
      <w:sz w:val="44"/>
      <w:szCs w:val="24"/>
    </w:rPr>
  </w:style>
  <w:style w:type="character" w:customStyle="1" w:styleId="2Char">
    <w:name w:val="标题 2 Char"/>
    <w:basedOn w:val="a0"/>
    <w:link w:val="2"/>
    <w:rsid w:val="00C50900"/>
    <w:rPr>
      <w:rFonts w:ascii="Arial" w:eastAsia="黑体" w:hAnsi="Arial" w:cs="Times New Roman"/>
      <w:b/>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Company>Home</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徐燕敏</dc:creator>
  <cp:keywords/>
  <dc:description/>
  <cp:lastModifiedBy>徐燕敏</cp:lastModifiedBy>
  <cp:revision>2</cp:revision>
  <dcterms:created xsi:type="dcterms:W3CDTF">2022-09-28T10:22:00Z</dcterms:created>
  <dcterms:modified xsi:type="dcterms:W3CDTF">2022-09-28T10:23:00Z</dcterms:modified>
</cp:coreProperties>
</file>