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ind w:firstLine="480" w:firstLineChars="200"/>
        <w:rPr>
          <w:rFonts w:hint="eastAsia" w:ascii="宋体" w:hAnsi="宋体" w:cs="宋体"/>
          <w:sz w:val="24"/>
          <w:szCs w:val="24"/>
        </w:rPr>
      </w:pPr>
      <w:r>
        <w:rPr>
          <w:rFonts w:hint="eastAsia" w:ascii="宋体" w:hAnsi="宋体" w:cs="宋体"/>
          <w:sz w:val="24"/>
          <w:szCs w:val="24"/>
        </w:rPr>
        <w:t>拟在江西中医药大学2023年度危险废弃物委托校内收运及处置服务采购项目中需要委托转运及待处理</w:t>
      </w:r>
      <w:r>
        <w:rPr>
          <w:rFonts w:hint="eastAsia" w:ascii="宋体" w:hAnsi="宋体" w:cs="宋体"/>
          <w:bCs/>
          <w:sz w:val="24"/>
          <w:szCs w:val="24"/>
        </w:rPr>
        <w:t>危险化学品废物</w:t>
      </w:r>
      <w:r>
        <w:rPr>
          <w:rFonts w:hint="eastAsia" w:ascii="宋体" w:hAnsi="宋体" w:cs="宋体"/>
          <w:sz w:val="24"/>
          <w:szCs w:val="24"/>
        </w:rPr>
        <w:t>为：实验室废液（年产生量约为40吨）、废试剂空瓶（年产生量约为20吨），服务内容主要包括三方面内容：1、危险废弃物的校内转运（包含湾里、阳明、抚生等各校区）；2、危险废弃物的合规化处置；3、为采购人提供统一的危废包装物。</w:t>
      </w:r>
    </w:p>
    <w:p>
      <w:pPr>
        <w:spacing w:line="460" w:lineRule="exact"/>
        <w:rPr>
          <w:rFonts w:hint="eastAsia" w:ascii="宋体" w:hAnsi="宋体" w:cs="宋体"/>
          <w:b/>
          <w:bCs/>
          <w:sz w:val="24"/>
          <w:szCs w:val="24"/>
        </w:rPr>
      </w:pPr>
    </w:p>
    <w:p>
      <w:pPr>
        <w:spacing w:line="460" w:lineRule="exact"/>
        <w:rPr>
          <w:rFonts w:hint="eastAsia" w:ascii="宋体" w:hAnsi="宋体" w:cs="宋体"/>
          <w:b/>
          <w:bCs/>
          <w:sz w:val="28"/>
          <w:szCs w:val="28"/>
        </w:rPr>
      </w:pPr>
      <w:r>
        <w:rPr>
          <w:rFonts w:hint="eastAsia" w:ascii="宋体" w:hAnsi="宋体" w:cs="宋体"/>
          <w:b/>
          <w:bCs/>
          <w:sz w:val="28"/>
          <w:szCs w:val="28"/>
        </w:rPr>
        <w:t>服务要求</w:t>
      </w:r>
    </w:p>
    <w:p>
      <w:pPr>
        <w:pStyle w:val="4"/>
        <w:spacing w:line="460" w:lineRule="exact"/>
        <w:jc w:val="both"/>
        <w:rPr>
          <w:rFonts w:hint="eastAsia" w:ascii="宋体" w:hAnsi="宋体" w:cs="宋体"/>
          <w:b/>
          <w:bCs/>
        </w:rPr>
      </w:pPr>
      <w:r>
        <w:rPr>
          <w:rFonts w:hint="eastAsia" w:ascii="宋体" w:hAnsi="宋体" w:cs="宋体"/>
          <w:b/>
          <w:bCs/>
        </w:rPr>
        <w:t>（一）危险废弃物的校内转运服务要求</w:t>
      </w:r>
    </w:p>
    <w:p>
      <w:pPr>
        <w:pStyle w:val="5"/>
        <w:spacing w:before="0" w:beforeLines="0" w:beforeAutospacing="0" w:after="0" w:afterLines="0" w:afterAutospacing="0" w:line="460" w:lineRule="exact"/>
        <w:ind w:firstLine="480" w:firstLineChars="200"/>
        <w:rPr>
          <w:rFonts w:hint="eastAsia"/>
          <w:kern w:val="2"/>
        </w:rPr>
      </w:pPr>
      <w:r>
        <w:rPr>
          <w:rFonts w:hint="eastAsia"/>
          <w:kern w:val="2"/>
        </w:rPr>
        <w:t>（1）成交供应商在服务开始前组织开展一次培训会，在采购人指定现场为师生讲解收运相关流程</w:t>
      </w:r>
      <w:r>
        <w:rPr>
          <w:rFonts w:hint="eastAsia"/>
          <w:kern w:val="2"/>
          <w:lang w:eastAsia="zh-CN"/>
        </w:rPr>
        <w:t>并</w:t>
      </w:r>
      <w:r>
        <w:rPr>
          <w:rFonts w:hint="eastAsia"/>
          <w:kern w:val="2"/>
        </w:rPr>
        <w:t>提供服务方案、注意事项、存储安全等注意事项。</w:t>
      </w:r>
    </w:p>
    <w:p>
      <w:pPr>
        <w:pStyle w:val="5"/>
        <w:spacing w:before="0" w:beforeLines="0" w:beforeAutospacing="0" w:after="0" w:afterLines="0" w:afterAutospacing="0" w:line="460" w:lineRule="exact"/>
        <w:ind w:firstLine="480" w:firstLineChars="200"/>
        <w:rPr>
          <w:rFonts w:hint="eastAsia"/>
          <w:kern w:val="2"/>
        </w:rPr>
      </w:pPr>
      <w:r>
        <w:rPr>
          <w:rFonts w:hint="eastAsia"/>
          <w:kern w:val="2"/>
        </w:rPr>
        <w:t>（2）采购人各实验室按供应商要求事先打包收集好实验室废物，并分类明确，张贴正规且具有有效信息的危废标签；资产管理处定期对全校危废产生情况进行计划收集，并提前通知供应商做好转移收集服务（可能极度危险成分，如剧毒物质等告知供应商知晓）；采购人将告知转运危险废物（液）的准确起点和最终校内暂存地点（距离约2公里），提供足够的作业空间场所，现场作业时派人员监督协调，待人员服务完毕后，负责后期到处置前的监管工作。</w:t>
      </w:r>
    </w:p>
    <w:p>
      <w:pPr>
        <w:pStyle w:val="5"/>
        <w:spacing w:before="0" w:beforeLines="0" w:beforeAutospacing="0" w:after="0" w:afterLines="0" w:afterAutospacing="0" w:line="460" w:lineRule="exact"/>
        <w:ind w:firstLine="480" w:firstLineChars="200"/>
        <w:rPr>
          <w:rFonts w:hint="eastAsia"/>
          <w:kern w:val="2"/>
        </w:rPr>
      </w:pPr>
      <w:r>
        <w:rPr>
          <w:rFonts w:hint="eastAsia"/>
          <w:kern w:val="2"/>
        </w:rPr>
        <w:t>（3）相关现场操作人员需由成交供应商进行安全培训后上岗，了解操作规范、熟悉收运流程、耐心细致办理收运业务；成交供应商须提供操作人员的手套、工作衣等所有劳保用品，且对工作人员的安全负全部责任。</w:t>
      </w:r>
    </w:p>
    <w:p>
      <w:pPr>
        <w:pStyle w:val="5"/>
        <w:spacing w:before="0" w:beforeLines="0" w:beforeAutospacing="0" w:after="0" w:afterLines="0" w:afterAutospacing="0" w:line="460" w:lineRule="exact"/>
        <w:ind w:firstLine="480" w:firstLineChars="200"/>
        <w:rPr>
          <w:rFonts w:hint="eastAsia"/>
          <w:kern w:val="2"/>
        </w:rPr>
      </w:pPr>
      <w:r>
        <w:rPr>
          <w:rFonts w:hint="eastAsia"/>
          <w:kern w:val="2"/>
        </w:rPr>
        <w:t>（4）</w:t>
      </w:r>
      <w:r>
        <w:rPr>
          <w:rFonts w:hint="eastAsia"/>
          <w:strike w:val="0"/>
          <w:dstrike w:val="0"/>
          <w:color w:val="auto"/>
          <w:kern w:val="2"/>
        </w:rPr>
        <w:t>成交供应商</w:t>
      </w:r>
      <w:r>
        <w:rPr>
          <w:rFonts w:hint="eastAsia"/>
          <w:strike w:val="0"/>
          <w:dstrike w:val="0"/>
          <w:color w:val="auto"/>
          <w:kern w:val="2"/>
          <w:lang w:eastAsia="zh-CN"/>
        </w:rPr>
        <w:t>需</w:t>
      </w:r>
      <w:r>
        <w:rPr>
          <w:rFonts w:hint="eastAsia"/>
          <w:strike w:val="0"/>
          <w:dstrike w:val="0"/>
          <w:color w:val="auto"/>
          <w:kern w:val="2"/>
        </w:rPr>
        <w:t>满足南昌本地长期收运需求；</w:t>
      </w:r>
      <w:r>
        <w:rPr>
          <w:rFonts w:hint="eastAsia"/>
          <w:kern w:val="2"/>
        </w:rPr>
        <w:t>具有小型专业危废运输车辆（长度4.2米以下）和技术人员、装卸人员，按采购人的计划和现场实际情况收取危险废物，提前一天准备好需托运的处置危险废物打包，自行准备搬运、称量设备。应当在采购人区域内文明作业，保证不影响采购人正常教学和实验，并在运输和处置过程中，不产生对环境第二次污染。</w:t>
      </w:r>
    </w:p>
    <w:p>
      <w:pPr>
        <w:pStyle w:val="5"/>
        <w:spacing w:before="0" w:beforeLines="0" w:beforeAutospacing="0" w:after="0" w:afterLines="0" w:afterAutospacing="0" w:line="460" w:lineRule="exact"/>
        <w:ind w:firstLine="480" w:firstLineChars="200"/>
        <w:rPr>
          <w:rFonts w:hint="eastAsia"/>
          <w:kern w:val="2"/>
        </w:rPr>
      </w:pPr>
      <w:r>
        <w:rPr>
          <w:rFonts w:hint="eastAsia"/>
          <w:kern w:val="2"/>
        </w:rPr>
        <w:t>（5）成交供应商收运车辆以及司机与装卸员工作业时应注意安全，相关人员需由成交供应商进行安全培训后上岗，了解操作规范、熟悉收运流程、耐心细致办理收运业务；成交供应商须提供操作人员的手套、工作衣等所有劳保用品，且对工作人员的安全负全部责任。如托运（含装卸、运输等）整个处置服务过程中发生任何安全事故自行负责，作业完毕后将其作业范围清理干净，并遵守采购人的相关环境以及安全管理规定。</w:t>
      </w:r>
    </w:p>
    <w:p>
      <w:pPr>
        <w:pStyle w:val="5"/>
        <w:spacing w:before="0" w:beforeLines="0" w:beforeAutospacing="0" w:after="0" w:afterLines="0" w:afterAutospacing="0" w:line="460" w:lineRule="exact"/>
        <w:ind w:firstLine="480" w:firstLineChars="200"/>
        <w:rPr>
          <w:rFonts w:hint="eastAsia"/>
          <w:kern w:val="2"/>
        </w:rPr>
      </w:pPr>
      <w:r>
        <w:rPr>
          <w:rFonts w:hint="eastAsia"/>
          <w:kern w:val="2"/>
        </w:rPr>
        <w:t>（6）实验室废液及废化学试剂校内收运过程中，必须检查危废移交管理人是否粘贴危废标签，确保每一张危废标签信息填写正确完整，危废包装是否完整无泄漏，并登记台账。（标签信息包含类容如下：废物名称、成分、产废单位、地址、联系人及电话等）</w:t>
      </w:r>
    </w:p>
    <w:p>
      <w:pPr>
        <w:pStyle w:val="5"/>
        <w:spacing w:before="0" w:beforeLines="0" w:beforeAutospacing="0" w:after="0" w:afterLines="0" w:afterAutospacing="0" w:line="460" w:lineRule="exact"/>
        <w:ind w:firstLine="480" w:firstLineChars="200"/>
        <w:rPr>
          <w:rFonts w:hint="eastAsia"/>
          <w:color w:val="auto"/>
          <w:kern w:val="2"/>
        </w:rPr>
      </w:pPr>
      <w:r>
        <w:rPr>
          <w:rFonts w:hint="eastAsia"/>
          <w:kern w:val="2"/>
        </w:rPr>
        <w:t>（7）危险废物的计重由成交供应商用称量工具逐一称重并按采购人要求进行记录，证明危险废物</w:t>
      </w:r>
      <w:r>
        <w:rPr>
          <w:rFonts w:hint="eastAsia"/>
          <w:color w:val="auto"/>
          <w:kern w:val="2"/>
        </w:rPr>
        <w:t>的实际重量（须供应商、危废产生部门、资产管理处三方现场确认）。如产生称重费用由成交供应商支付。</w:t>
      </w:r>
    </w:p>
    <w:p>
      <w:pPr>
        <w:pStyle w:val="5"/>
        <w:spacing w:before="0" w:beforeLines="0" w:beforeAutospacing="0" w:after="0" w:afterLines="0" w:afterAutospacing="0" w:line="460" w:lineRule="exact"/>
        <w:ind w:firstLine="480" w:firstLineChars="200"/>
        <w:rPr>
          <w:rFonts w:hint="eastAsia"/>
          <w:color w:val="auto"/>
          <w:kern w:val="2"/>
        </w:rPr>
      </w:pPr>
      <w:r>
        <w:rPr>
          <w:rFonts w:hint="eastAsia"/>
          <w:color w:val="auto"/>
          <w:kern w:val="2"/>
        </w:rPr>
        <w:t>（8）安全装车转移至</w:t>
      </w:r>
      <w:r>
        <w:rPr>
          <w:rFonts w:hint="eastAsia"/>
          <w:color w:val="auto"/>
          <w:kern w:val="2"/>
          <w:lang w:eastAsia="zh-CN"/>
        </w:rPr>
        <w:t>采购人</w:t>
      </w:r>
      <w:r>
        <w:rPr>
          <w:rFonts w:hint="eastAsia"/>
          <w:color w:val="auto"/>
          <w:kern w:val="2"/>
        </w:rPr>
        <w:t>指定危废暂存柜存放，清点每日打包危废种类数量，做好服务记录交由</w:t>
      </w:r>
      <w:r>
        <w:rPr>
          <w:rFonts w:hint="eastAsia"/>
          <w:color w:val="auto"/>
          <w:kern w:val="2"/>
          <w:lang w:eastAsia="zh-CN"/>
        </w:rPr>
        <w:t>学校相关部门负责人</w:t>
      </w:r>
      <w:r>
        <w:rPr>
          <w:rFonts w:hint="eastAsia"/>
          <w:color w:val="auto"/>
          <w:kern w:val="2"/>
        </w:rPr>
        <w:t>签字确认。</w:t>
      </w:r>
    </w:p>
    <w:p>
      <w:pPr>
        <w:pStyle w:val="5"/>
        <w:spacing w:before="0" w:beforeLines="0" w:beforeAutospacing="0" w:after="0" w:afterLines="0" w:afterAutospacing="0" w:line="460" w:lineRule="exact"/>
        <w:ind w:firstLine="480" w:firstLineChars="200"/>
        <w:rPr>
          <w:kern w:val="2"/>
        </w:rPr>
      </w:pPr>
      <w:r>
        <w:rPr>
          <w:rFonts w:hint="eastAsia"/>
          <w:color w:val="auto"/>
          <w:kern w:val="2"/>
        </w:rPr>
        <w:t>（9）成交供应商须具有现</w:t>
      </w:r>
      <w:r>
        <w:rPr>
          <w:rFonts w:hint="eastAsia"/>
          <w:kern w:val="2"/>
        </w:rPr>
        <w:t>场应急处理的能力。</w:t>
      </w:r>
    </w:p>
    <w:p>
      <w:pPr>
        <w:spacing w:line="460" w:lineRule="exact"/>
        <w:rPr>
          <w:rFonts w:hint="eastAsia" w:ascii="宋体" w:hAnsi="宋体" w:cs="宋体"/>
          <w:b/>
          <w:bCs/>
          <w:sz w:val="24"/>
          <w:szCs w:val="24"/>
        </w:rPr>
      </w:pPr>
      <w:r>
        <w:rPr>
          <w:rFonts w:hint="eastAsia" w:ascii="宋体" w:hAnsi="宋体" w:cs="宋体"/>
          <w:b/>
          <w:bCs/>
          <w:sz w:val="24"/>
          <w:szCs w:val="24"/>
        </w:rPr>
        <w:t>（二）危险废弃物的合规化处置服务要求</w:t>
      </w:r>
    </w:p>
    <w:p>
      <w:pPr>
        <w:spacing w:line="460" w:lineRule="exact"/>
        <w:ind w:firstLine="480" w:firstLineChars="200"/>
        <w:rPr>
          <w:rFonts w:hint="eastAsia" w:ascii="宋体" w:hAnsi="宋体" w:cs="宋体"/>
          <w:sz w:val="24"/>
          <w:szCs w:val="24"/>
        </w:rPr>
      </w:pPr>
      <w:r>
        <w:rPr>
          <w:rFonts w:hint="eastAsia" w:ascii="宋体" w:hAnsi="宋体" w:cs="宋体"/>
          <w:sz w:val="24"/>
          <w:szCs w:val="24"/>
        </w:rPr>
        <w:t>（1）成交供应商应具有运输车辆和装卸人员，按采购人的计划收取危险废物，提前一天准备好需托运的处置危险废物打包，自行准备搬运设备。应当在采购人区域内文明作业，保证不影响采购人正常教学和实验，并在运输和处置过程中，不产生对环境第二次污染。</w:t>
      </w:r>
    </w:p>
    <w:p>
      <w:pPr>
        <w:spacing w:line="460" w:lineRule="exact"/>
        <w:ind w:firstLine="480" w:firstLineChars="200"/>
        <w:rPr>
          <w:rFonts w:hint="eastAsia" w:ascii="宋体" w:hAnsi="宋体" w:cs="宋体"/>
          <w:sz w:val="24"/>
          <w:szCs w:val="24"/>
        </w:rPr>
      </w:pPr>
      <w:r>
        <w:rPr>
          <w:rFonts w:hint="eastAsia" w:ascii="宋体" w:hAnsi="宋体" w:cs="宋体"/>
          <w:sz w:val="24"/>
          <w:szCs w:val="24"/>
        </w:rPr>
        <w:t>（2）成交供应商收运车辆以及司机与装卸员工作业时应注意安全，如托运（含装卸、运输等）整个处置服务过程中发生任何安全事故自行负责，作业完毕后将其作业范围清理干净，并遵守采购人的相关环境以及安全管理规定。</w:t>
      </w:r>
    </w:p>
    <w:p>
      <w:pPr>
        <w:spacing w:line="460" w:lineRule="exact"/>
        <w:ind w:firstLine="480" w:firstLineChars="200"/>
        <w:rPr>
          <w:rFonts w:hint="eastAsia" w:ascii="宋体" w:hAnsi="宋体" w:cs="宋体"/>
          <w:sz w:val="24"/>
          <w:szCs w:val="24"/>
        </w:rPr>
      </w:pPr>
      <w:r>
        <w:rPr>
          <w:rFonts w:hint="eastAsia" w:ascii="宋体" w:hAnsi="宋体" w:cs="宋体"/>
          <w:sz w:val="24"/>
          <w:szCs w:val="24"/>
        </w:rPr>
        <w:t>（3）危险废物的计重由成交供应商用称量工具逐一称重；成交供应商必须提供过称收货单及危险废物转移联单的详细资料，证明危险废物的实际重量。如产生称重费用由成交供应商支付。</w:t>
      </w:r>
    </w:p>
    <w:p>
      <w:pPr>
        <w:spacing w:line="460" w:lineRule="exact"/>
        <w:ind w:firstLine="480" w:firstLineChars="200"/>
        <w:rPr>
          <w:rFonts w:hint="eastAsia" w:ascii="宋体" w:hAnsi="宋体" w:cs="宋体"/>
          <w:sz w:val="24"/>
          <w:szCs w:val="24"/>
        </w:rPr>
      </w:pPr>
      <w:r>
        <w:rPr>
          <w:rFonts w:hint="eastAsia" w:ascii="宋体" w:hAnsi="宋体" w:cs="宋体"/>
          <w:sz w:val="24"/>
          <w:szCs w:val="24"/>
        </w:rPr>
        <w:t>（4）成交供应商须根据采购人要求按需对实验室废液、废试剂空瓶进行处置；在正常情况下，接采购人通知10个工作日内进行处置；重要节假日及国家重大活动前须主动与采购人联系收运相关事宜。成交供应商需提供不明试剂检测化验、分拣、装车、运输、处置等所有与本次处置相关的服务。</w:t>
      </w:r>
    </w:p>
    <w:p>
      <w:pPr>
        <w:pStyle w:val="4"/>
        <w:spacing w:line="460" w:lineRule="exact"/>
        <w:jc w:val="both"/>
        <w:rPr>
          <w:rFonts w:hint="eastAsia" w:ascii="宋体" w:hAnsi="宋体" w:cs="宋体"/>
          <w:b/>
          <w:bCs/>
        </w:rPr>
      </w:pPr>
      <w:bookmarkStart w:id="0" w:name="_Toc257035787"/>
      <w:bookmarkStart w:id="1" w:name="_Toc254707145"/>
      <w:bookmarkStart w:id="2" w:name="_Toc257035687"/>
      <w:bookmarkStart w:id="3" w:name="_Toc268526177"/>
      <w:bookmarkStart w:id="4" w:name="_Toc295165665"/>
      <w:r>
        <w:rPr>
          <w:rFonts w:hint="eastAsia" w:ascii="宋体" w:hAnsi="宋体" w:cs="宋体"/>
          <w:b/>
          <w:bCs/>
        </w:rPr>
        <w:t>（三）为学校提供统一危废包装物相关要求</w:t>
      </w:r>
    </w:p>
    <w:p>
      <w:pPr>
        <w:pStyle w:val="4"/>
        <w:spacing w:line="460" w:lineRule="exact"/>
        <w:jc w:val="left"/>
        <w:rPr>
          <w:rFonts w:hint="eastAsia" w:ascii="宋体" w:hAnsi="宋体" w:cs="宋体"/>
        </w:rPr>
      </w:pPr>
      <w:r>
        <w:rPr>
          <w:rFonts w:hint="eastAsia" w:ascii="宋体" w:hAnsi="宋体" w:cs="宋体"/>
        </w:rPr>
        <w:t xml:space="preserve">     成交供应商需</w:t>
      </w:r>
      <w:r>
        <w:rPr>
          <w:rFonts w:hint="eastAsia" w:ascii="宋体" w:hAnsi="宋体" w:cs="宋体"/>
          <w:color w:val="auto"/>
        </w:rPr>
        <w:t>与采购人达成一致协议，按照要求定期将废弃包装物送至采购人指定地点，并配合发</w:t>
      </w:r>
      <w:r>
        <w:rPr>
          <w:rFonts w:hint="eastAsia" w:ascii="宋体" w:hAnsi="宋体" w:cs="宋体"/>
        </w:rPr>
        <w:t>放服务。</w:t>
      </w:r>
    </w:p>
    <w:p>
      <w:pPr>
        <w:spacing w:line="460" w:lineRule="exact"/>
        <w:rPr>
          <w:rFonts w:hint="eastAsia" w:ascii="宋体" w:hAnsi="宋体" w:cs="宋体"/>
          <w:sz w:val="24"/>
          <w:szCs w:val="24"/>
        </w:rPr>
      </w:pPr>
      <w:r>
        <w:rPr>
          <w:rFonts w:hint="eastAsia" w:ascii="宋体" w:hAnsi="宋体" w:cs="宋体"/>
          <w:sz w:val="24"/>
          <w:szCs w:val="24"/>
        </w:rPr>
        <w:t>1、盛装化学性废</w:t>
      </w:r>
      <w:r>
        <w:rPr>
          <w:rFonts w:hint="eastAsia" w:ascii="宋体" w:hAnsi="宋体" w:cs="宋体"/>
          <w:bCs/>
          <w:sz w:val="24"/>
          <w:szCs w:val="24"/>
        </w:rPr>
        <w:t>液</w:t>
      </w:r>
      <w:r>
        <w:rPr>
          <w:rFonts w:hint="eastAsia" w:ascii="宋体" w:hAnsi="宋体" w:cs="宋体"/>
          <w:sz w:val="24"/>
          <w:szCs w:val="24"/>
        </w:rPr>
        <w:t>的容器：半透明方形耐强酸强碱的塑料桶（25L，统一尺寸约为300 mm *260mm*400mm，（</w:t>
      </w:r>
      <w:r>
        <w:rPr>
          <w:rFonts w:hint="eastAsia"/>
        </w:rPr>
        <w:t>±</w:t>
      </w:r>
      <w:r>
        <w:rPr>
          <w:rFonts w:hint="eastAsia" w:ascii="宋体" w:hAnsi="宋体" w:cs="宋体"/>
          <w:sz w:val="24"/>
          <w:szCs w:val="24"/>
        </w:rPr>
        <w:t>10mm内均可）），预计年度用量为2000个。</w:t>
      </w:r>
    </w:p>
    <w:p>
      <w:pPr>
        <w:spacing w:line="460" w:lineRule="exact"/>
        <w:rPr>
          <w:rFonts w:hint="eastAsia" w:ascii="宋体" w:hAnsi="宋体" w:cs="宋体"/>
          <w:sz w:val="24"/>
          <w:szCs w:val="24"/>
        </w:rPr>
      </w:pPr>
      <w:r>
        <w:rPr>
          <w:rFonts w:hint="eastAsia" w:ascii="宋体" w:hAnsi="宋体" w:cs="宋体"/>
          <w:sz w:val="24"/>
          <w:szCs w:val="24"/>
        </w:rPr>
        <w:t>需满足以下要求：</w:t>
      </w:r>
    </w:p>
    <w:p>
      <w:pPr>
        <w:pStyle w:val="3"/>
        <w:numPr>
          <w:ilvl w:val="0"/>
          <w:numId w:val="0"/>
        </w:numPr>
        <w:ind w:firstLine="480" w:firstLineChars="200"/>
        <w:rPr>
          <w:rFonts w:hint="eastAsia" w:ascii="宋体" w:hAnsi="宋体" w:cs="宋体"/>
          <w:b/>
          <w:bCs/>
          <w:color w:val="auto"/>
          <w:sz w:val="24"/>
          <w:szCs w:val="24"/>
        </w:rPr>
      </w:pPr>
      <w:r>
        <w:rPr>
          <w:rFonts w:hint="eastAsia" w:ascii="宋体" w:hAnsi="宋体" w:cs="宋体"/>
          <w:sz w:val="24"/>
          <w:szCs w:val="24"/>
        </w:rPr>
        <w:t>（1）符合《危险货物运输包装通用技术条件》GB12463-2009标准，能承受正常运输条件下的磨损、撞击、温度、静电、光照及老化等作用的影响；凹凸堆码设计，堆码不易倒；双层密封盖且带密封胶圈，密封性好，倒置不漏；满足环保要求。</w:t>
      </w:r>
      <w:r>
        <w:rPr>
          <w:rFonts w:hint="eastAsia" w:ascii="宋体" w:hAnsi="宋体" w:cs="宋体"/>
          <w:b/>
          <w:bCs/>
          <w:color w:val="auto"/>
          <w:sz w:val="28"/>
          <w:szCs w:val="28"/>
          <w:lang w:eastAsia="zh-CN"/>
        </w:rPr>
        <w:t>（要求</w:t>
      </w:r>
      <w:r>
        <w:rPr>
          <w:rFonts w:hint="eastAsia"/>
          <w:b/>
          <w:bCs/>
          <w:color w:val="auto"/>
          <w:sz w:val="28"/>
          <w:szCs w:val="28"/>
        </w:rPr>
        <w:t>提供第三方检测机构出具的检测报告</w:t>
      </w:r>
      <w:r>
        <w:rPr>
          <w:rFonts w:hint="eastAsia"/>
          <w:b/>
          <w:bCs/>
          <w:color w:val="auto"/>
          <w:sz w:val="28"/>
          <w:szCs w:val="28"/>
          <w:lang w:eastAsia="zh-CN"/>
        </w:rPr>
        <w:t>）</w:t>
      </w:r>
      <w:r>
        <w:rPr>
          <w:rFonts w:hint="eastAsia"/>
          <w:b/>
          <w:bCs/>
          <w:color w:val="auto"/>
          <w:sz w:val="28"/>
          <w:szCs w:val="28"/>
        </w:rPr>
        <w:t>。</w:t>
      </w:r>
    </w:p>
    <w:p>
      <w:pPr>
        <w:spacing w:line="460" w:lineRule="exact"/>
        <w:ind w:firstLine="420"/>
        <w:rPr>
          <w:rFonts w:hint="eastAsia" w:ascii="宋体" w:hAnsi="宋体" w:cs="宋体"/>
          <w:sz w:val="24"/>
          <w:szCs w:val="24"/>
        </w:rPr>
      </w:pPr>
      <w:r>
        <w:rPr>
          <w:rFonts w:hint="eastAsia" w:ascii="宋体" w:hAnsi="宋体" w:cs="宋体"/>
          <w:sz w:val="24"/>
          <w:szCs w:val="24"/>
        </w:rPr>
        <w:t>（2）需统一在3/4处印制最大容量标示线，具体样式由采购人提供。</w:t>
      </w:r>
    </w:p>
    <w:p>
      <w:pPr>
        <w:spacing w:line="460" w:lineRule="exact"/>
        <w:rPr>
          <w:rFonts w:hint="eastAsia" w:ascii="宋体" w:hAnsi="宋体" w:cs="宋体"/>
          <w:sz w:val="24"/>
          <w:szCs w:val="24"/>
        </w:rPr>
      </w:pPr>
      <w:r>
        <w:rPr>
          <w:rFonts w:hint="eastAsia" w:ascii="宋体" w:hAnsi="宋体" w:cs="宋体"/>
          <w:sz w:val="24"/>
          <w:szCs w:val="24"/>
        </w:rPr>
        <w:t>2、塑料编织袋</w:t>
      </w:r>
    </w:p>
    <w:p>
      <w:pPr>
        <w:spacing w:line="460" w:lineRule="exact"/>
        <w:ind w:firstLine="560"/>
        <w:rPr>
          <w:rFonts w:hint="eastAsia"/>
          <w:sz w:val="24"/>
          <w:szCs w:val="24"/>
        </w:rPr>
      </w:pPr>
      <w:r>
        <w:rPr>
          <w:rFonts w:hint="eastAsia" w:ascii="宋体" w:hAnsi="宋体" w:cs="宋体"/>
          <w:sz w:val="24"/>
          <w:szCs w:val="24"/>
        </w:rPr>
        <w:t>符合《危险货物运输包装通用技术条件》GB12463-2009标准，容量要求至少可装60个500ML空试剂瓶，预计年度用量2000个，防撒漏型袋应用纸或塑料播磨黏在袋的内表面。</w:t>
      </w:r>
    </w:p>
    <w:p>
      <w:pPr>
        <w:spacing w:line="460" w:lineRule="exact"/>
        <w:rPr>
          <w:rFonts w:hint="eastAsia" w:ascii="宋体" w:hAnsi="宋体" w:cs="宋体"/>
          <w:sz w:val="24"/>
          <w:szCs w:val="24"/>
        </w:rPr>
      </w:pPr>
      <w:r>
        <w:rPr>
          <w:rFonts w:hint="eastAsia" w:ascii="宋体" w:hAnsi="宋体" w:cs="宋体"/>
          <w:sz w:val="24"/>
          <w:szCs w:val="24"/>
        </w:rPr>
        <w:t>3、统一危废标签</w:t>
      </w:r>
    </w:p>
    <w:p>
      <w:pPr>
        <w:spacing w:line="460" w:lineRule="exact"/>
        <w:ind w:firstLine="480" w:firstLineChars="200"/>
        <w:rPr>
          <w:rFonts w:ascii="宋体" w:hAnsi="宋体" w:cs="宋体"/>
          <w:sz w:val="24"/>
          <w:szCs w:val="24"/>
        </w:rPr>
      </w:pPr>
      <w:r>
        <w:rPr>
          <w:rFonts w:hint="eastAsia" w:ascii="宋体" w:hAnsi="宋体" w:cs="宋体"/>
          <w:sz w:val="24"/>
          <w:szCs w:val="24"/>
        </w:rPr>
        <w:t>粘度高的统一危废标签4000张，样式由采购人提供(20CM*20cm)</w:t>
      </w:r>
    </w:p>
    <w:bookmarkEnd w:id="0"/>
    <w:bookmarkEnd w:id="1"/>
    <w:bookmarkEnd w:id="2"/>
    <w:bookmarkEnd w:id="3"/>
    <w:bookmarkEnd w:id="4"/>
    <w:p>
      <w:pPr>
        <w:rPr>
          <w:rFonts w:hint="eastAsia" w:ascii="宋体" w:hAnsi="宋体"/>
          <w:b/>
        </w:rPr>
      </w:pPr>
    </w:p>
    <w:p>
      <w:pPr>
        <w:pStyle w:val="4"/>
        <w:spacing w:line="460" w:lineRule="exact"/>
        <w:jc w:val="both"/>
        <w:rPr>
          <w:rFonts w:hint="eastAsia" w:ascii="宋体" w:hAnsi="宋体"/>
          <w:b/>
        </w:rPr>
      </w:pPr>
      <w:bookmarkStart w:id="5" w:name="_GoBack"/>
      <w:r>
        <w:drawing>
          <wp:anchor distT="0" distB="0" distL="114300" distR="114300" simplePos="0" relativeHeight="251659264" behindDoc="0" locked="0" layoutInCell="1" allowOverlap="0">
            <wp:simplePos x="0" y="0"/>
            <wp:positionH relativeFrom="margin">
              <wp:posOffset>1101090</wp:posOffset>
            </wp:positionH>
            <wp:positionV relativeFrom="margin">
              <wp:posOffset>3173730</wp:posOffset>
            </wp:positionV>
            <wp:extent cx="2777490" cy="3043555"/>
            <wp:effectExtent l="0" t="0" r="11430" b="4445"/>
            <wp:wrapSquare wrapText="bothSides"/>
            <wp:docPr id="1" name="图片 2" descr="da5ad442899db027d6f7e4154afb4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da5ad442899db027d6f7e4154afb44c"/>
                    <pic:cNvPicPr>
                      <a:picLocks noChangeAspect="1"/>
                    </pic:cNvPicPr>
                  </pic:nvPicPr>
                  <pic:blipFill>
                    <a:blip r:embed="rId6"/>
                    <a:stretch>
                      <a:fillRect/>
                    </a:stretch>
                  </pic:blipFill>
                  <pic:spPr>
                    <a:xfrm>
                      <a:off x="0" y="0"/>
                      <a:ext cx="2777490" cy="3043555"/>
                    </a:xfrm>
                    <a:prstGeom prst="rect">
                      <a:avLst/>
                    </a:prstGeom>
                    <a:noFill/>
                    <a:ln>
                      <a:noFill/>
                    </a:ln>
                  </pic:spPr>
                </pic:pic>
              </a:graphicData>
            </a:graphic>
          </wp:anchor>
        </w:drawing>
      </w:r>
      <w:bookmarkEnd w:id="5"/>
    </w:p>
    <w:p>
      <w:pPr>
        <w:pStyle w:val="4"/>
        <w:spacing w:line="460" w:lineRule="exact"/>
        <w:jc w:val="both"/>
        <w:rPr>
          <w:rFonts w:hint="eastAsia" w:ascii="宋体" w:hAnsi="宋体"/>
          <w:b/>
        </w:rPr>
      </w:pPr>
    </w:p>
    <w:p>
      <w:pPr>
        <w:pStyle w:val="4"/>
        <w:spacing w:line="460" w:lineRule="exact"/>
        <w:jc w:val="both"/>
        <w:rPr>
          <w:rFonts w:hint="eastAsia" w:ascii="宋体" w:hAnsi="宋体"/>
          <w:b/>
        </w:rPr>
      </w:pPr>
    </w:p>
    <w:p>
      <w:pPr>
        <w:pStyle w:val="4"/>
        <w:spacing w:line="460" w:lineRule="exact"/>
        <w:jc w:val="both"/>
        <w:rPr>
          <w:rFonts w:hint="eastAsia" w:ascii="宋体" w:hAnsi="宋体"/>
          <w:b/>
        </w:rPr>
      </w:pPr>
    </w:p>
    <w:p>
      <w:pPr>
        <w:pStyle w:val="4"/>
        <w:spacing w:line="460" w:lineRule="exact"/>
        <w:jc w:val="both"/>
        <w:rPr>
          <w:rFonts w:hint="eastAsia" w:ascii="宋体" w:hAnsi="宋体"/>
          <w:b/>
        </w:rPr>
      </w:pPr>
    </w:p>
    <w:p>
      <w:pPr>
        <w:pStyle w:val="4"/>
        <w:spacing w:line="460" w:lineRule="exact"/>
        <w:jc w:val="both"/>
        <w:rPr>
          <w:rFonts w:hint="eastAsia" w:ascii="宋体" w:hAnsi="宋体"/>
          <w:b/>
        </w:rPr>
      </w:pPr>
    </w:p>
    <w:p>
      <w:pPr>
        <w:pStyle w:val="4"/>
        <w:spacing w:line="460" w:lineRule="exact"/>
        <w:jc w:val="both"/>
        <w:rPr>
          <w:rFonts w:hint="eastAsia" w:ascii="宋体" w:hAnsi="宋体"/>
          <w:b/>
        </w:rPr>
      </w:pPr>
    </w:p>
    <w:p>
      <w:pPr>
        <w:pStyle w:val="4"/>
        <w:spacing w:line="460" w:lineRule="exact"/>
        <w:jc w:val="both"/>
        <w:rPr>
          <w:rFonts w:hint="eastAsia" w:ascii="宋体" w:hAnsi="宋体"/>
          <w:b/>
        </w:rPr>
      </w:pPr>
    </w:p>
    <w:p>
      <w:pPr>
        <w:pStyle w:val="4"/>
        <w:spacing w:line="460" w:lineRule="exact"/>
        <w:jc w:val="both"/>
        <w:rPr>
          <w:rFonts w:hint="eastAsia" w:ascii="宋体" w:hAnsi="宋体"/>
          <w:b/>
        </w:rPr>
      </w:pPr>
    </w:p>
    <w:p>
      <w:pPr>
        <w:pStyle w:val="4"/>
        <w:spacing w:line="460" w:lineRule="exact"/>
        <w:jc w:val="both"/>
        <w:rPr>
          <w:rFonts w:hint="eastAsia" w:ascii="宋体" w:hAnsi="宋体"/>
          <w:b/>
        </w:rPr>
      </w:pPr>
    </w:p>
    <w:p/>
    <w:sectPr>
      <w:pgSz w:w="11906" w:h="16838"/>
      <w:pgMar w:top="1134" w:right="1304" w:bottom="1134" w:left="1304" w:header="567" w:footer="567" w:gutter="0"/>
      <w:pgNumType w:start="1"/>
      <w:cols w:space="0" w:num="1"/>
      <w:rtlGutter w:val="0"/>
      <w:docGrid w:linePitch="28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2MDEyZDI4ZDZmNzlhZmM3M2E4ZTVjNDBlMTc1NzkifQ=="/>
  </w:docVars>
  <w:rsids>
    <w:rsidRoot w:val="744D5D13"/>
    <w:rsid w:val="38084944"/>
    <w:rsid w:val="3A5C306C"/>
    <w:rsid w:val="744D5D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40" w:lineRule="exact"/>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99"/>
    <w:pPr>
      <w:ind w:firstLine="630"/>
    </w:pPr>
    <w:rPr>
      <w:kern w:val="0"/>
      <w:sz w:val="24"/>
      <w:szCs w:val="24"/>
    </w:rPr>
  </w:style>
  <w:style w:type="paragraph" w:styleId="3">
    <w:name w:val="annotation text"/>
    <w:basedOn w:val="1"/>
    <w:qFormat/>
    <w:uiPriority w:val="0"/>
    <w:pPr>
      <w:jc w:val="left"/>
    </w:pPr>
    <w:rPr>
      <w:kern w:val="0"/>
      <w:sz w:val="24"/>
      <w:szCs w:val="24"/>
    </w:rPr>
  </w:style>
  <w:style w:type="paragraph" w:styleId="4">
    <w:name w:val="Body Text"/>
    <w:basedOn w:val="1"/>
    <w:uiPriority w:val="99"/>
    <w:pPr>
      <w:autoSpaceDE w:val="0"/>
      <w:autoSpaceDN w:val="0"/>
      <w:adjustRightInd w:val="0"/>
      <w:jc w:val="center"/>
      <w:textAlignment w:val="baseline"/>
    </w:pPr>
    <w:rPr>
      <w:kern w:val="0"/>
      <w:sz w:val="24"/>
      <w:szCs w:val="24"/>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2011</Words>
  <Characters>2086</Characters>
  <Lines>0</Lines>
  <Paragraphs>0</Paragraphs>
  <TotalTime>0</TotalTime>
  <ScaleCrop>false</ScaleCrop>
  <LinksUpToDate>false</LinksUpToDate>
  <CharactersWithSpaces>2093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2023-02-06T09:11:00Z</dcterms:created>
  <dc:creator>鼎跃</dc:creator>
  <cp:lastModifiedBy>鼎跃</cp:lastModifiedBy>
  <dcterms:modified xsi:type="dcterms:W3CDTF">2023-02-06T09:11:58Z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B74CCCF386F44456A589EA7DC6AFD2D6</vt:lpwstr>
  </property>
</Properties>
</file>