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A1BFD">
      <w:pPr>
        <w:pStyle w:val="2"/>
        <w:spacing w:before="0" w:after="0"/>
        <w:rPr>
          <w:rFonts w:hint="eastAsia" w:ascii="宋体" w:hAnsi="宋体"/>
          <w:color w:val="000000"/>
          <w:sz w:val="24"/>
          <w:szCs w:val="24"/>
        </w:rPr>
      </w:pPr>
      <w:bookmarkStart w:id="0" w:name="_Toc26448"/>
      <w:bookmarkStart w:id="1" w:name="_Toc180424951"/>
      <w:r>
        <w:rPr>
          <w:rFonts w:hint="eastAsia" w:ascii="宋体" w:hAnsi="宋体"/>
          <w:color w:val="000000"/>
          <w:sz w:val="24"/>
          <w:szCs w:val="24"/>
        </w:rPr>
        <w:t>一、技术要求</w:t>
      </w:r>
      <w:bookmarkEnd w:id="0"/>
      <w:bookmarkEnd w:id="1"/>
    </w:p>
    <w:p w14:paraId="35186A26">
      <w:pPr>
        <w:spacing w:line="500" w:lineRule="exact"/>
        <w:ind w:firstLine="482" w:firstLineChars="200"/>
        <w:rPr>
          <w:rFonts w:hint="eastAsia" w:ascii="宋体" w:hAnsi="宋体" w:cs="宋体"/>
          <w:b/>
          <w:bCs/>
          <w:sz w:val="24"/>
          <w:szCs w:val="24"/>
        </w:rPr>
      </w:pPr>
      <w:bookmarkStart w:id="2" w:name="_Hlk99134230"/>
      <w:r>
        <w:rPr>
          <w:rFonts w:hint="eastAsia" w:ascii="宋体" w:hAnsi="宋体" w:cs="宋体"/>
          <w:b/>
          <w:bCs/>
          <w:sz w:val="24"/>
          <w:szCs w:val="24"/>
        </w:rPr>
        <w:t>（一）活动形式</w:t>
      </w:r>
    </w:p>
    <w:p w14:paraId="4C3398B9">
      <w:pPr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拟邀请电子商务专家深入县乡开展农产品直播电商专题辅导，提升基层干部、涉农企业、农村合作社、种养植大户和农村青年直播销售能力，从而推动赣品网上销售。</w:t>
      </w:r>
    </w:p>
    <w:p w14:paraId="6FC195DB">
      <w:pPr>
        <w:spacing w:line="500" w:lineRule="exact"/>
        <w:ind w:firstLine="482" w:firstLineChars="200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（二）活动内容</w:t>
      </w:r>
    </w:p>
    <w:p w14:paraId="0BACB296">
      <w:pPr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围绕农村产品上行，重点介绍农村直播电商的新模式新机遇、全网直播电商平台特点；开展短视频文案创作、拍摄技巧与推广运营指导，直播选品、策划、运营及复盘等技能辅导；电子商务法律法规及安全生产法律法规宣传。</w:t>
      </w:r>
    </w:p>
    <w:p w14:paraId="448498DB">
      <w:pPr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2、本次专家下乡活动拟赴15个县开展15场专场活动，每场一天、辅导100人，15场共计1500人（根据分配指标由各设区市确定活动县）。</w:t>
      </w:r>
    </w:p>
    <w:p w14:paraId="5A8519E6">
      <w:pPr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3、本次活动将需要专家及工作人员参与（共5人）。</w:t>
      </w:r>
    </w:p>
    <w:p w14:paraId="24430203">
      <w:pPr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4、本次活动按照每个县1.5天测算，总体活动共需22天。</w:t>
      </w:r>
    </w:p>
    <w:p w14:paraId="6756CD1B">
      <w:r>
        <w:rPr>
          <w:rFonts w:hint="eastAsia" w:ascii="宋体" w:hAnsi="宋体"/>
          <w:b/>
          <w:sz w:val="24"/>
          <w:szCs w:val="24"/>
        </w:rPr>
        <w:t>注：以上“技术要求”为实质性要求，必须完全满足，否则响应无效。</w:t>
      </w:r>
      <w:bookmarkEnd w:id="2"/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MzllMTNlMTY5ODE5MTk3NTQ0NDg0ZDE5MjdiMmYifQ=="/>
  </w:docVars>
  <w:rsids>
    <w:rsidRoot w:val="2F0758A6"/>
    <w:rsid w:val="2F07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500" w:lineRule="exact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2024-10-31T06:25:00Z</dcterms:created>
  <dc:creator>admin</dc:creator>
  <cp:lastModifiedBy>admin</cp:lastModifiedBy>
  <dcterms:modified xsi:type="dcterms:W3CDTF">2024-10-31T06:25:59Z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EEF56A7CAC9C47B3B4E0BA941017C36D_11</vt:lpwstr>
  </property>
</Properties>
</file>