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249A9">
      <w:pPr>
        <w:pStyle w:val="3"/>
        <w:numPr>
          <w:ilvl w:val="0"/>
          <w:numId w:val="1"/>
        </w:numPr>
        <w:spacing w:before="0" w:after="0"/>
        <w:jc w:val="center"/>
        <w:rPr>
          <w:rFonts w:hint="eastAsia" w:ascii="宋体" w:hAnsi="宋体"/>
          <w:color w:val="000000"/>
          <w:sz w:val="28"/>
          <w:szCs w:val="28"/>
          <w:highlight w:val="none"/>
          <w:lang w:eastAsia="zh-CN"/>
        </w:rPr>
      </w:pPr>
      <w:bookmarkStart w:id="0" w:name="_Toc9378"/>
      <w:r>
        <w:rPr>
          <w:rFonts w:hint="eastAsia" w:ascii="宋体" w:hAnsi="宋体"/>
          <w:color w:val="000000"/>
          <w:sz w:val="28"/>
          <w:szCs w:val="28"/>
          <w:highlight w:val="none"/>
          <w:lang w:eastAsia="zh-CN"/>
        </w:rPr>
        <w:t>标的清单</w:t>
      </w:r>
      <w:bookmarkEnd w:id="0"/>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779"/>
        <w:gridCol w:w="993"/>
        <w:gridCol w:w="993"/>
        <w:gridCol w:w="1809"/>
      </w:tblGrid>
      <w:tr w14:paraId="710A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52" w:type="pct"/>
            <w:noWrap w:val="0"/>
            <w:vAlign w:val="center"/>
          </w:tcPr>
          <w:p w14:paraId="1080BFA1">
            <w:pPr>
              <w:jc w:val="center"/>
              <w:rPr>
                <w:rFonts w:hint="eastAsia" w:ascii="宋体" w:hAnsi="宋体" w:cs="宋体"/>
                <w:b/>
                <w:kern w:val="0"/>
                <w:sz w:val="24"/>
              </w:rPr>
            </w:pPr>
            <w:r>
              <w:rPr>
                <w:rFonts w:hint="eastAsia" w:ascii="宋体" w:hAnsi="宋体" w:cs="宋体"/>
                <w:b/>
                <w:kern w:val="0"/>
                <w:sz w:val="24"/>
              </w:rPr>
              <w:t>序号</w:t>
            </w:r>
          </w:p>
        </w:tc>
        <w:tc>
          <w:tcPr>
            <w:tcW w:w="2218" w:type="pct"/>
            <w:noWrap w:val="0"/>
            <w:vAlign w:val="center"/>
          </w:tcPr>
          <w:p w14:paraId="7BEDF11D">
            <w:pPr>
              <w:jc w:val="center"/>
              <w:rPr>
                <w:rFonts w:hint="eastAsia" w:ascii="宋体" w:hAnsi="宋体" w:cs="宋体"/>
                <w:b/>
                <w:kern w:val="0"/>
                <w:sz w:val="24"/>
              </w:rPr>
            </w:pPr>
            <w:r>
              <w:rPr>
                <w:rFonts w:hint="eastAsia" w:ascii="宋体" w:hAnsi="宋体" w:cs="宋体"/>
                <w:b/>
                <w:kern w:val="0"/>
                <w:sz w:val="24"/>
              </w:rPr>
              <w:t>名称</w:t>
            </w:r>
          </w:p>
        </w:tc>
        <w:tc>
          <w:tcPr>
            <w:tcW w:w="583" w:type="pct"/>
            <w:noWrap w:val="0"/>
            <w:vAlign w:val="center"/>
          </w:tcPr>
          <w:p w14:paraId="65EB3BCC">
            <w:pPr>
              <w:jc w:val="center"/>
              <w:rPr>
                <w:rFonts w:hint="eastAsia" w:ascii="宋体" w:hAnsi="宋体" w:cs="宋体"/>
                <w:b/>
                <w:kern w:val="0"/>
                <w:sz w:val="24"/>
              </w:rPr>
            </w:pPr>
            <w:r>
              <w:rPr>
                <w:rFonts w:hint="eastAsia" w:ascii="宋体" w:hAnsi="宋体" w:cs="宋体"/>
                <w:b/>
                <w:kern w:val="0"/>
                <w:sz w:val="24"/>
              </w:rPr>
              <w:t>数量</w:t>
            </w:r>
          </w:p>
        </w:tc>
        <w:tc>
          <w:tcPr>
            <w:tcW w:w="583" w:type="pct"/>
            <w:noWrap w:val="0"/>
            <w:vAlign w:val="center"/>
          </w:tcPr>
          <w:p w14:paraId="6C9F83D4">
            <w:pPr>
              <w:jc w:val="center"/>
              <w:rPr>
                <w:rFonts w:ascii="宋体" w:hAnsi="宋体" w:cs="宋体"/>
                <w:b/>
                <w:kern w:val="0"/>
                <w:sz w:val="24"/>
              </w:rPr>
            </w:pPr>
            <w:r>
              <w:rPr>
                <w:rFonts w:hint="eastAsia" w:ascii="宋体" w:hAnsi="宋体" w:cs="宋体"/>
                <w:b/>
                <w:kern w:val="0"/>
                <w:sz w:val="24"/>
              </w:rPr>
              <w:t>单位</w:t>
            </w:r>
          </w:p>
        </w:tc>
        <w:tc>
          <w:tcPr>
            <w:tcW w:w="1061" w:type="pct"/>
            <w:noWrap w:val="0"/>
            <w:vAlign w:val="center"/>
          </w:tcPr>
          <w:p w14:paraId="6CDEEA31">
            <w:pPr>
              <w:jc w:val="center"/>
              <w:rPr>
                <w:rFonts w:hint="eastAsia" w:ascii="宋体" w:hAnsi="宋体" w:cs="宋体"/>
                <w:b/>
                <w:kern w:val="0"/>
                <w:sz w:val="24"/>
              </w:rPr>
            </w:pPr>
            <w:r>
              <w:rPr>
                <w:rFonts w:hint="eastAsia" w:ascii="宋体" w:hAnsi="宋体" w:cs="宋体"/>
                <w:b/>
                <w:kern w:val="0"/>
                <w:sz w:val="24"/>
              </w:rPr>
              <w:t>备注</w:t>
            </w:r>
          </w:p>
        </w:tc>
      </w:tr>
      <w:tr w14:paraId="2045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52" w:type="pct"/>
            <w:noWrap w:val="0"/>
            <w:vAlign w:val="center"/>
          </w:tcPr>
          <w:p w14:paraId="56196A39">
            <w:pPr>
              <w:spacing w:line="440" w:lineRule="exact"/>
              <w:jc w:val="center"/>
              <w:rPr>
                <w:rFonts w:hint="eastAsia" w:ascii="宋体" w:hAnsi="宋体" w:cs="宋体"/>
                <w:sz w:val="24"/>
                <w:szCs w:val="24"/>
              </w:rPr>
            </w:pPr>
            <w:r>
              <w:rPr>
                <w:rFonts w:hint="eastAsia" w:ascii="宋体" w:hAnsi="宋体" w:cs="宋体"/>
                <w:sz w:val="24"/>
                <w:szCs w:val="24"/>
              </w:rPr>
              <w:t>1</w:t>
            </w:r>
          </w:p>
        </w:tc>
        <w:tc>
          <w:tcPr>
            <w:tcW w:w="2218" w:type="pct"/>
            <w:noWrap w:val="0"/>
            <w:vAlign w:val="center"/>
          </w:tcPr>
          <w:p w14:paraId="5FB8CC5F">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cs="宋体"/>
                <w:bCs/>
                <w:kern w:val="0"/>
                <w:sz w:val="24"/>
              </w:rPr>
            </w:pPr>
            <w:r>
              <w:rPr>
                <w:rFonts w:hint="eastAsia" w:ascii="宋体" w:hAnsi="宋体" w:cs="宋体"/>
                <w:bCs/>
                <w:kern w:val="0"/>
                <w:sz w:val="24"/>
              </w:rPr>
              <w:t>食堂食材定点供货服务</w:t>
            </w:r>
          </w:p>
        </w:tc>
        <w:tc>
          <w:tcPr>
            <w:tcW w:w="583" w:type="pct"/>
            <w:noWrap w:val="0"/>
            <w:vAlign w:val="top"/>
          </w:tcPr>
          <w:p w14:paraId="4EAC38CA">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83" w:type="pct"/>
            <w:noWrap w:val="0"/>
            <w:vAlign w:val="top"/>
          </w:tcPr>
          <w:p w14:paraId="5F9694F8">
            <w:pPr>
              <w:spacing w:line="440" w:lineRule="exact"/>
              <w:jc w:val="center"/>
              <w:rPr>
                <w:rFonts w:hint="eastAsia" w:ascii="宋体" w:hAnsi="宋体" w:eastAsia="宋体" w:cs="宋体"/>
                <w:sz w:val="24"/>
                <w:lang w:eastAsia="zh-CN"/>
              </w:rPr>
            </w:pPr>
            <w:r>
              <w:rPr>
                <w:rFonts w:hint="eastAsia" w:ascii="宋体" w:hAnsi="宋体" w:cs="宋体"/>
                <w:sz w:val="24"/>
                <w:lang w:eastAsia="zh-CN"/>
              </w:rPr>
              <w:t>项</w:t>
            </w:r>
          </w:p>
        </w:tc>
        <w:tc>
          <w:tcPr>
            <w:tcW w:w="1061" w:type="pct"/>
            <w:noWrap w:val="0"/>
            <w:vAlign w:val="center"/>
          </w:tcPr>
          <w:p w14:paraId="59D5B762">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w:t>
            </w:r>
          </w:p>
        </w:tc>
      </w:tr>
    </w:tbl>
    <w:p w14:paraId="3342B184">
      <w:pPr>
        <w:numPr>
          <w:ilvl w:val="0"/>
          <w:numId w:val="0"/>
        </w:numPr>
        <w:rPr>
          <w:rFonts w:hint="eastAsia"/>
          <w:lang w:eastAsia="zh-CN"/>
        </w:rPr>
      </w:pPr>
    </w:p>
    <w:p w14:paraId="5FB430CA">
      <w:pPr>
        <w:pStyle w:val="3"/>
        <w:numPr>
          <w:ilvl w:val="0"/>
          <w:numId w:val="0"/>
        </w:numPr>
        <w:spacing w:before="0" w:after="0"/>
        <w:jc w:val="center"/>
        <w:rPr>
          <w:rFonts w:hint="eastAsia" w:ascii="宋体" w:hAnsi="宋体"/>
          <w:color w:val="000000"/>
          <w:sz w:val="28"/>
          <w:szCs w:val="28"/>
          <w:highlight w:val="none"/>
        </w:rPr>
      </w:pPr>
      <w:bookmarkStart w:id="1" w:name="_Toc27792"/>
      <w:r>
        <w:rPr>
          <w:rFonts w:hint="eastAsia" w:ascii="宋体" w:hAnsi="宋体"/>
          <w:color w:val="000000"/>
          <w:sz w:val="28"/>
          <w:szCs w:val="28"/>
          <w:highlight w:val="none"/>
          <w:lang w:eastAsia="zh-CN"/>
        </w:rPr>
        <w:t>二</w:t>
      </w:r>
      <w:r>
        <w:rPr>
          <w:rFonts w:hint="eastAsia" w:ascii="宋体" w:hAnsi="宋体"/>
          <w:color w:val="000000"/>
          <w:sz w:val="28"/>
          <w:szCs w:val="28"/>
          <w:highlight w:val="none"/>
        </w:rPr>
        <w:t>、技术要求</w:t>
      </w:r>
      <w:bookmarkEnd w:id="1"/>
    </w:p>
    <w:p w14:paraId="3947BB14">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成交供应商须在服务</w:t>
      </w:r>
      <w:r>
        <w:rPr>
          <w:rFonts w:hint="eastAsia" w:ascii="宋体" w:hAnsi="宋体" w:eastAsia="宋体" w:cs="宋体"/>
          <w:color w:val="auto"/>
          <w:sz w:val="24"/>
          <w:szCs w:val="24"/>
        </w:rPr>
        <w:t>期限内向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食堂提供每个工作日（含</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安排的双休日及节假日正常上班）的早、中、晚三餐、来客及会议接待用餐供应的食材（配送范围：大米、面粉、食用油、各类蔬菜、新鲜肉类、冷冻食品、新鲜家禽、禽蛋、豆制品、水产品、调味品、副食品、水果、各类辅料等）。</w:t>
      </w:r>
    </w:p>
    <w:p w14:paraId="36423707">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负责制定食堂食材采购计划，向</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提供货品采购清单明细，并应于前一天下午5点前</w:t>
      </w:r>
      <w:r>
        <w:rPr>
          <w:rFonts w:hint="eastAsia" w:ascii="宋体" w:hAnsi="宋体" w:eastAsia="宋体" w:cs="宋体"/>
          <w:color w:val="auto"/>
          <w:sz w:val="24"/>
          <w:szCs w:val="24"/>
          <w:u w:val="none"/>
        </w:rPr>
        <w:t>由</w:t>
      </w:r>
      <w:r>
        <w:rPr>
          <w:rFonts w:hint="eastAsia" w:ascii="宋体" w:hAnsi="宋体" w:eastAsia="宋体" w:cs="宋体"/>
          <w:color w:val="auto"/>
          <w:sz w:val="24"/>
          <w:szCs w:val="24"/>
          <w:u w:val="none"/>
          <w:lang w:eastAsia="zh-CN"/>
        </w:rPr>
        <w:t>采购人</w:t>
      </w:r>
      <w:r>
        <w:rPr>
          <w:rFonts w:hint="eastAsia" w:ascii="宋体" w:hAnsi="宋体" w:eastAsia="宋体" w:cs="宋体"/>
          <w:color w:val="auto"/>
          <w:sz w:val="24"/>
          <w:szCs w:val="24"/>
          <w:u w:val="none"/>
        </w:rPr>
        <w:t>授权人员</w:t>
      </w:r>
      <w:r>
        <w:rPr>
          <w:rFonts w:hint="eastAsia" w:ascii="宋体" w:hAnsi="宋体" w:eastAsia="宋体" w:cs="宋体"/>
          <w:color w:val="auto"/>
          <w:sz w:val="24"/>
          <w:szCs w:val="24"/>
        </w:rPr>
        <w:t>以微信、传真、邮件等（或书面）文字方式向</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u w:val="none"/>
        </w:rPr>
        <w:t>授权人员</w:t>
      </w:r>
      <w:r>
        <w:rPr>
          <w:rFonts w:hint="eastAsia" w:ascii="宋体" w:hAnsi="宋体" w:eastAsia="宋体" w:cs="宋体"/>
          <w:color w:val="auto"/>
          <w:sz w:val="24"/>
          <w:szCs w:val="24"/>
        </w:rPr>
        <w:t>下订单，订单内容应写明品名、数量、送达时间及特殊要求等；特殊品种、量大的熟食、客餐用的贵重食材必须提前一天告知</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备货；</w:t>
      </w:r>
    </w:p>
    <w:p w14:paraId="31CB1D7B">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按照采购清单明细要求送达的货品，若无质量、数量、品牌等问题，</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不得拒收；</w:t>
      </w:r>
    </w:p>
    <w:p w14:paraId="5BC226B1">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提供的货品有检查监督和抽查权利，</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应无条件按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要求进行整改；</w:t>
      </w:r>
    </w:p>
    <w:p w14:paraId="4180C1FA">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对于货物品种或质量达不到要求的货物，</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有权退货或更换，由此产生的费用由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承担；</w:t>
      </w:r>
    </w:p>
    <w:p w14:paraId="4E0C6DDD">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有义务妥善保管</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供货所用的器具；</w:t>
      </w:r>
    </w:p>
    <w:p w14:paraId="13609491">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食品数量验收，以</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的验收数量为准，</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应保证配送品种数量的准确性，</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每次随货送上一式三份的送货清单，供</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验货后双方授权人员签字确认，双方各持一份，作为送、收货的凭证。对送货过程中出现的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要求换货的品种，以及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根据就餐需要临时加补的品种，</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保证在1小时送到，确保</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正常就餐。</w:t>
      </w:r>
    </w:p>
    <w:p w14:paraId="3F5EADDB">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临时有来客及会议接待用餐，要求</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配送所需食材，</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应保证在1小时送到。</w:t>
      </w:r>
    </w:p>
    <w:p w14:paraId="625993F4">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lang w:eastAsia="zh-CN"/>
        </w:rPr>
        <w:t>成交供应商须</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规定的时间内按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采购清单要求提供食材，不得拖延；如遇特殊情况须延迟应及时通知</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 xml:space="preserve">。 </w:t>
      </w:r>
    </w:p>
    <w:p w14:paraId="61399088">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有权要求</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提前提供食堂所需采购清单，如因</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原因未能及时提供食材清单的，造成食材延时配送的由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承担责任。</w:t>
      </w:r>
    </w:p>
    <w:p w14:paraId="6C4D964F">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.送货时间一般为当天上午7:30前将</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所订的货品送至指定地点，如遇特殊情况，</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可以改变送货时间，应提前通知</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。如</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验收不满意，</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必须于一个小时重新送货上门。</w:t>
      </w:r>
    </w:p>
    <w:p w14:paraId="1632ECF2">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每天早上7:30前将订单内所有货品送到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指定地点，7:50仍未送达，</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可向第三方进行采购，所产生的一切费用由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承担。</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如送货迟到一次提出口头警告，并要求作出书面保证，两次迟到或者一次迟到20分钟以上的扣罚当天总货款的10%，三次迟到或者两次迟到20分钟以上，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有权通知</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解除本供货合同。</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应提供《送货清单》为一式叁份，</w:t>
      </w:r>
      <w:r>
        <w:rPr>
          <w:rFonts w:hint="eastAsia" w:ascii="宋体" w:hAnsi="宋体" w:eastAsia="宋体" w:cs="宋体"/>
          <w:color w:val="auto"/>
          <w:sz w:val="24"/>
          <w:szCs w:val="24"/>
          <w:lang w:eastAsia="zh-CN"/>
        </w:rPr>
        <w:t>采购人、成交供应商</w:t>
      </w:r>
      <w:r>
        <w:rPr>
          <w:rFonts w:hint="eastAsia" w:ascii="宋体" w:hAnsi="宋体" w:eastAsia="宋体" w:cs="宋体"/>
          <w:color w:val="auto"/>
          <w:sz w:val="24"/>
          <w:szCs w:val="24"/>
        </w:rPr>
        <w:t>双方授权人员现场过秤并验收签名，作结算凭证。送货时</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要附上《食堂主副食品供应货物验收考核表》。</w:t>
      </w:r>
    </w:p>
    <w:p w14:paraId="7B518EFC">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提供的所有品种按除箱净重过磅，最终交易重量以双方确认的过磅数为准。</w:t>
      </w:r>
    </w:p>
    <w:p w14:paraId="533CB4F8">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送货人员负责将食材配送到指定地点，并进行称重过磅，然后放到平板推车上，由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食堂人员负责配送到各自使用点。</w:t>
      </w:r>
    </w:p>
    <w:p w14:paraId="5E498D5A">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.如</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漏单则须无偿补货，姜、葱、蒜、尖椒、红椒、肉类、食用油等日常所需</w:t>
      </w:r>
      <w:r>
        <w:rPr>
          <w:rFonts w:hint="eastAsia" w:ascii="宋体" w:hAnsi="宋体" w:eastAsia="宋体" w:cs="宋体"/>
          <w:color w:val="auto"/>
          <w:sz w:val="24"/>
          <w:szCs w:val="24"/>
          <w:lang w:val="en-US" w:eastAsia="zh-CN"/>
        </w:rPr>
        <w:t>材料</w:t>
      </w:r>
      <w:r>
        <w:rPr>
          <w:rFonts w:hint="eastAsia" w:ascii="宋体" w:hAnsi="宋体" w:eastAsia="宋体" w:cs="宋体"/>
          <w:color w:val="auto"/>
          <w:sz w:val="24"/>
          <w:szCs w:val="24"/>
        </w:rPr>
        <w:t>应于当天早上10:30前补货至食堂，其他品种15:30前要补货至食堂。</w:t>
      </w:r>
    </w:p>
    <w:p w14:paraId="290C312C">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.由于</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工作失误，导致配送不能到达</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指定地点，造成</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损失的，由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负责承担有关责任，并扣除履约保证金的10%(遇自然灾害等不可抗拒原因时除外）。</w:t>
      </w:r>
    </w:p>
    <w:p w14:paraId="16A903FE">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供应的禽肉类、水产不新鲜，蔬菜枯萎、菜叶破损严重，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有权提出退换；</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提供的</w:t>
      </w:r>
      <w:r>
        <w:rPr>
          <w:rFonts w:hint="eastAsia" w:ascii="宋体" w:hAnsi="宋体" w:eastAsia="宋体" w:cs="宋体"/>
          <w:color w:val="auto"/>
          <w:sz w:val="24"/>
          <w:szCs w:val="24"/>
          <w:lang w:val="en-US" w:eastAsia="zh-CN"/>
        </w:rPr>
        <w:t>食材</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需求或缺斤少两，</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有权要求补足数量或按实际重量结算付款；</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供应的调料非</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要求品牌，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有权要求退换。如</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1个月内累计出现问题次数3次以上（含本数），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有权扣除一周全部货款；1个月内累计次数达6次以上（含本数），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有权扣除两周全部货款；1个月内累计次数达8次以上，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有权扣除一个月全部货款，并有权不予退还</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履约保证金并取消配送资格，责任由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承担。</w:t>
      </w:r>
    </w:p>
    <w:p w14:paraId="7BA35DA4">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配送的</w:t>
      </w:r>
      <w:r>
        <w:rPr>
          <w:rFonts w:hint="eastAsia" w:ascii="宋体" w:hAnsi="宋体" w:eastAsia="宋体" w:cs="宋体"/>
          <w:color w:val="auto"/>
          <w:sz w:val="24"/>
          <w:szCs w:val="24"/>
          <w:lang w:val="en-US" w:eastAsia="zh-CN"/>
        </w:rPr>
        <w:t>食材</w:t>
      </w:r>
      <w:r>
        <w:rPr>
          <w:rFonts w:hint="eastAsia" w:ascii="宋体" w:hAnsi="宋体" w:eastAsia="宋体" w:cs="宋体"/>
          <w:color w:val="auto"/>
          <w:sz w:val="24"/>
          <w:szCs w:val="24"/>
        </w:rPr>
        <w:t>存在卫生安全问题，导致</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人员</w:t>
      </w:r>
      <w:r>
        <w:rPr>
          <w:rFonts w:hint="eastAsia" w:ascii="宋体" w:hAnsi="宋体" w:eastAsia="宋体" w:cs="宋体"/>
          <w:color w:val="auto"/>
          <w:sz w:val="24"/>
          <w:szCs w:val="24"/>
          <w:lang w:val="en-US" w:eastAsia="zh-CN"/>
        </w:rPr>
        <w:t>或第三方人员</w:t>
      </w:r>
      <w:r>
        <w:rPr>
          <w:rFonts w:hint="eastAsia" w:ascii="宋体" w:hAnsi="宋体" w:eastAsia="宋体" w:cs="宋体"/>
          <w:color w:val="auto"/>
          <w:sz w:val="24"/>
          <w:szCs w:val="24"/>
        </w:rPr>
        <w:t>出现患病或中毒等食品安全事故，由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承担全部责任与费用，并有权扣除履约保证金的50%；如致</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人员或第三方人员</w:t>
      </w:r>
      <w:r>
        <w:rPr>
          <w:rFonts w:hint="eastAsia" w:ascii="宋体" w:hAnsi="宋体" w:eastAsia="宋体" w:cs="宋体"/>
          <w:color w:val="auto"/>
          <w:sz w:val="24"/>
          <w:szCs w:val="24"/>
        </w:rPr>
        <w:t>发生群体性食物中毒事故，由</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承担所有事故责任与费用，</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有权不</w:t>
      </w:r>
      <w:r>
        <w:rPr>
          <w:rFonts w:hint="eastAsia" w:ascii="宋体" w:hAnsi="宋体" w:eastAsia="宋体" w:cs="宋体"/>
          <w:color w:val="auto"/>
          <w:sz w:val="24"/>
          <w:szCs w:val="24"/>
          <w:lang w:val="en-US" w:eastAsia="zh-CN"/>
        </w:rPr>
        <w:t>予</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全部履约保证金，取消配送资格。造成严重后果的，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将依法追究</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法律责任。</w:t>
      </w:r>
    </w:p>
    <w:p w14:paraId="5C72C073">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不得以任何形式给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单位和个人回扣，经查属实，</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应按本合同服务期营业额的10%的向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支付违约金。</w:t>
      </w:r>
    </w:p>
    <w:p w14:paraId="44AAC10F">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.由于</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配送食材弄虚作假、以次充好给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权益造损害的，第一次</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有权扣除成交供应商当天全部货款；第二次</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有权扣除</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一周全部货款，不予退还全部履约保证金并同时取消配送资格。</w:t>
      </w:r>
    </w:p>
    <w:p w14:paraId="3FCFC643">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应严格遵守《食品卫生法》、《环境保护法》等相关规定，确保配送食材符合国家质量标准。</w:t>
      </w:r>
    </w:p>
    <w:p w14:paraId="6777E279">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在提供食材配送服务期间不能以任何形式将本合同标的转让或分包给他人实施，否则一经发现，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有权单方面解除合同，并追究</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因此对</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w:t>
      </w:r>
    </w:p>
    <w:p w14:paraId="6AB288C7">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应当每日处理清运厨房所产生的厨余垃圾。</w:t>
      </w:r>
    </w:p>
    <w:p w14:paraId="35363C07">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应对</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履行过程中的安全负责。</w:t>
      </w:r>
    </w:p>
    <w:p w14:paraId="3CA878FC">
      <w:pPr>
        <w:pStyle w:val="7"/>
        <w:keepNext w:val="0"/>
        <w:keepLines w:val="0"/>
        <w:pageBreakBefore w:val="0"/>
        <w:widowControl w:val="0"/>
        <w:kinsoku/>
        <w:wordWrap/>
        <w:overflowPunct/>
        <w:topLinePunct w:val="0"/>
        <w:autoSpaceDE/>
        <w:autoSpaceDN w:val="0"/>
        <w:bidi w:val="0"/>
        <w:adjustRightInd w:val="0"/>
        <w:snapToGrid w:val="0"/>
        <w:spacing w:line="46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25.供应商须为本项目拟派不少于7人的服务人员，服务人员均具有疾病预防控制中心或卫生监督管理部门颁发的健康证。</w:t>
      </w:r>
    </w:p>
    <w:p w14:paraId="23756E68">
      <w:r>
        <w:rPr>
          <w:rFonts w:hint="eastAsia" w:ascii="宋体" w:hAnsi="宋体" w:eastAsia="宋体" w:cs="宋体"/>
          <w:b/>
          <w:color w:val="auto"/>
          <w:sz w:val="24"/>
          <w:szCs w:val="24"/>
          <w:highlight w:val="none"/>
        </w:rPr>
        <w:t>注：以上“技术要求”为实质性要求，必须完全满足，否则响应无效。</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3B7B2"/>
    <w:multiLevelType w:val="singleLevel"/>
    <w:tmpl w:val="74C3B7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A28AC"/>
    <w:rsid w:val="5EFA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99"/>
    <w:pPr>
      <w:autoSpaceDE w:val="0"/>
      <w:autoSpaceDN w:val="0"/>
      <w:adjustRightInd w:val="0"/>
      <w:jc w:val="center"/>
      <w:textAlignment w:val="baseline"/>
    </w:pPr>
    <w:rPr>
      <w:kern w:val="0"/>
      <w:sz w:val="24"/>
      <w:szCs w:val="24"/>
    </w:rPr>
  </w:style>
  <w:style w:type="paragraph" w:styleId="4">
    <w:name w:val="Normal Indent"/>
    <w:basedOn w:val="1"/>
    <w:qFormat/>
    <w:uiPriority w:val="0"/>
    <w:pPr>
      <w:widowControl/>
      <w:ind w:firstLine="420"/>
      <w:jc w:val="left"/>
    </w:pPr>
    <w:rPr>
      <w:kern w:val="0"/>
      <w:sz w:val="20"/>
      <w:szCs w:val="20"/>
    </w:rPr>
  </w:style>
  <w:style w:type="paragraph" w:customStyle="1" w:styleId="7">
    <w:name w:val="p0"/>
    <w:basedOn w:val="1"/>
    <w:uiPriority w:val="99"/>
    <w:pPr>
      <w:widowControl/>
    </w:pPr>
    <w:rPr>
      <w:rFonts w:ascii="Calibri" w:hAnsi="Calibri" w:cs="Calibri"/>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2024-12-29T11:33:00Z</dcterms:created>
  <dc:creator>admin</dc:creator>
  <cp:lastModifiedBy>admin</cp:lastModifiedBy>
  <dcterms:modified xsi:type="dcterms:W3CDTF">2024-12-29T11:33:52Z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E68A76A6DB85454096635A95A1BE2EB4_11</vt:lpwstr>
  </property>
  <property fmtid="{D5CDD505-2E9C-101B-9397-08002B2CF9AE}" pid="4" name="KSOTemplateDocerSaveRecord">
    <vt:lpwstr>eyJoZGlkIjoiN2FkMzllMTNlMTY5ODE5MTk3NTQ0NDg0ZDE5MjdiMmYiLCJ1c2VySWQiOiIyODQ3NjAxNjYifQ==</vt:lpwstr>
  </property>
</Properties>
</file>