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  <w:highlight w:val="none"/>
        </w:rPr>
      </w:pPr>
      <w:bookmarkStart w:id="0" w:name="_Toc16148"/>
      <w:r>
        <w:rPr>
          <w:rFonts w:hint="eastAsia" w:ascii="宋体" w:hAnsi="宋体"/>
          <w:color w:val="000000"/>
          <w:sz w:val="28"/>
          <w:szCs w:val="28"/>
          <w:highlight w:val="none"/>
        </w:rPr>
        <w:t>一、技术要求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1、安全驻场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服务要求</w:t>
      </w:r>
      <w:r>
        <w:rPr>
          <w:rFonts w:hint="eastAsia" w:ascii="宋体" w:hAnsi="宋体" w:eastAsia="宋体" w:cs="宋体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sz w:val="24"/>
          <w:szCs w:val="24"/>
        </w:rPr>
        <w:t>根据采购人要求，每周提供不少于1个工作日的安全驻场运维服务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且驻场人员不能随意变更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若遇变更情况需取得采购人同意。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"/>
        </w:rPr>
      </w:pPr>
      <w:r>
        <w:rPr>
          <w:rFonts w:hint="eastAsia" w:ascii="宋体" w:hAnsi="宋体" w:eastAsia="宋体" w:cs="宋体"/>
          <w:sz w:val="24"/>
          <w:szCs w:val="24"/>
        </w:rPr>
        <w:t>服务内容</w:t>
      </w:r>
      <w:r>
        <w:rPr>
          <w:rFonts w:hint="eastAsia" w:ascii="宋体" w:hAnsi="宋体" w:eastAsia="宋体" w:cs="宋体"/>
          <w:sz w:val="24"/>
          <w:szCs w:val="24"/>
          <w:lang w:val="e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（1）安全巡检服务。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每周定期使用多种手段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对网络设备、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安全设备、</w:t>
      </w:r>
      <w:r>
        <w:rPr>
          <w:rFonts w:hint="eastAsia" w:ascii="宋体" w:hAnsi="宋体" w:eastAsia="宋体" w:cs="宋体"/>
          <w:sz w:val="24"/>
          <w:szCs w:val="24"/>
        </w:rPr>
        <w:t>服务器、操作系统、应用系统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进行周期性的状态检查、补丁管理等安全巡检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及时掌握当前网络、系统的威胁状况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修复发现的系统安全隐患或新的安全漏洞。采取有针对性的安全措施，确保IT设备及系统持续保持良好的安全状况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保障系统、设备的安全和高可用性，每周巡检需提交巡检结果报告及安全建议。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（2）安全策略梳理服务。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"/>
        </w:rPr>
      </w:pPr>
      <w:r>
        <w:rPr>
          <w:rFonts w:hint="eastAsia" w:ascii="宋体" w:hAnsi="宋体" w:eastAsia="宋体" w:cs="宋体"/>
          <w:sz w:val="24"/>
          <w:szCs w:val="24"/>
        </w:rPr>
        <w:t>根据实际需求及相关标准对安全设备的策略进行优化，使安全设备的防护效果达到最佳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，同时满足等保及相关法律法规的要求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（3）安全日志分析服务。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不定期针对日常</w:t>
      </w:r>
      <w:r>
        <w:rPr>
          <w:rFonts w:hint="eastAsia" w:ascii="宋体" w:hAnsi="宋体" w:eastAsia="宋体" w:cs="宋体"/>
          <w:sz w:val="24"/>
          <w:szCs w:val="24"/>
          <w:lang w:val="en"/>
        </w:rPr>
        <w:t xml:space="preserve"> IT </w:t>
      </w:r>
      <w:r>
        <w:rPr>
          <w:rFonts w:hint="eastAsia" w:ascii="宋体" w:hAnsi="宋体" w:eastAsia="宋体" w:cs="宋体"/>
          <w:sz w:val="24"/>
          <w:szCs w:val="24"/>
        </w:rPr>
        <w:t>运维、网络安全事件、</w:t>
      </w:r>
      <w:r>
        <w:rPr>
          <w:rFonts w:hint="eastAsia" w:ascii="宋体" w:hAnsi="宋体" w:eastAsia="宋体" w:cs="宋体"/>
          <w:sz w:val="24"/>
          <w:szCs w:val="24"/>
          <w:lang w:val="en"/>
        </w:rPr>
        <w:t>IT</w:t>
      </w:r>
      <w:r>
        <w:rPr>
          <w:rFonts w:hint="eastAsia" w:ascii="宋体" w:hAnsi="宋体" w:eastAsia="宋体" w:cs="宋体"/>
          <w:sz w:val="24"/>
          <w:szCs w:val="24"/>
        </w:rPr>
        <w:t xml:space="preserve"> 故障等场景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提供分析日志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发现日常安全威胁、快速排查故障、提前解决处理可能发生的安全事件。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（4）资产梳理服务。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通过采用自动化探测工具+人工复核的服务模式，定期对采购人内网的所有存活IP进行识别梳理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，不定期</w:t>
      </w:r>
      <w:r>
        <w:rPr>
          <w:rFonts w:hint="eastAsia" w:ascii="宋体" w:hAnsi="宋体" w:eastAsia="宋体" w:cs="宋体"/>
          <w:sz w:val="24"/>
          <w:szCs w:val="24"/>
        </w:rPr>
        <w:t>提供资产台账及网络拓扑图包括资产类型、操作系统、开放端口、应用类型等信息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，并能够实时展示资产的安全风险指数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（5）网络流量走向梳理服务。对网络中的业务流量走向进行梳理。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（6）日常网络故障协助处理服务。针对日常工作中发现的网络故障进行协助处理。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2、安全漏洞扫描服务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每季度提供不少于1次的安全漏洞扫描服务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，需提交安全扫描结果报告。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为采购人提供包括但不限于网络设备、操作系统、数据库、web应用系统在内的安全漏洞扫描服务，提供主机漏洞台账与报告，并根据漏洞风险等级、漏洞被利用可能性、漏洞加固或规避措施等内容，为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单位进行漏洞处置决策提供参考依据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3、安全配置核查和安全加固服务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每季度提供不少于1次的安全配置核查服务，协助相对应的加固，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需提交核查结果报告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通过现场人工实施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辅之以安全基线工具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对采购人的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网络设备、主机、数据库、中间件等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常见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应用的安全策略配置进行科学、全面、认真的检查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，输出专业的检查报告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分析和修补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其中的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脆弱性配置，以保障信息系统长期保持在高度可信的安全状态。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安全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培训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提供不少于1次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网络安全培训服务，协助培训资料整理存档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需提交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培训PPT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安全意识培训：针对目前主流的网上诈骗、个人信息泄露、办公安全意识等进行全面的讲解。需要配套相应的安全攻击过程演示等，保证培训过程中的生动性。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安全技能培训：通过专业网络安全技术人员对采购人情况调研，了解到采购人具体网络安全技能薄弱处，从而对采购人定制化培训课程，提升管理人员的专业能力。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5、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安全应急演练服务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提供不少于1次的网络安全应急演练工作，通过网页挂马、网页篡改、病毒感染、邮件钓鱼等真实事件对采购人的安全性进行实战演练，检测采购人的安全防范意识及应急处置能力。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根据采购人实际情况提供网络安全应急演练方案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网络安全应急演练过程中提供技术协助进行应急演练。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根据应急演练结果完善采购人网络安全应急预案。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6、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安全应急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支撑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小时内到现场，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应急响应支撑工作。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发生确切的安全事件时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网络安全技术人员通过现场或非现场等方式进行信息收集工作，详细了解掌握事件发生的始终、现状、可能的影响，对事件进行详细分析，提供事件处理建议，并协助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解决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此次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事件，待事件处理结束后，技术人员整理事件分析、事件处理的过程记录和相关资料进行处置汇报。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安全管理制度服务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指导并协助采购人完善单位相关信息安全管理制度，并且在日常的网络安全建设、运维中，提供制度落实的相关建议。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8、信息安全风险评估服务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根据采购人工作安排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由采购人指定一个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业务系统进行风险评估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评估完成后提供《信息安全风险评估报告》。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针对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采购人指定的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业务系统进行风险评估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，从风险管理的角度，系统地分析网络与信息系统所面临的威胁及其存在的脆弱性，评估安全事件一旦发生可能造成的危害程度，为防范和化解信息安全风险，或者将风险控制在可接受的范围，制定有针对性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抵御威胁的防护对策和整改措施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9、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安全迎检服务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根据需求配合采购人做好相关安全检查前期准备工作，配合相应佐证材料整理，配合采购人做好现场检查工作。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按照监管部门每年下发的网络安全检查文件要求，配合采购人完成相应检查表格填写和文档准备。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10、渗透测试服务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：合同期内，按照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采购人需求，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针对外网系统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不少于2次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的应用系统渗透测试服务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，并提供渗透测试报告。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由具备高技能和经验丰富的安全服务人员发起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并模拟常见黑客所使用的攻击手段对目标系统进行模拟入侵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目的在于充分挖掘和暴露系统的弱点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从而让管理人员了解其系统所面临的威胁。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11、重保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值守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服务要求</w:t>
      </w:r>
      <w:r>
        <w:rPr>
          <w:rFonts w:hint="eastAsia" w:ascii="宋体" w:hAnsi="宋体" w:eastAsia="宋体" w:cs="宋体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在重要时期或重要活动时</w:t>
      </w:r>
      <w:r>
        <w:rPr>
          <w:rFonts w:hint="eastAsia" w:ascii="宋体" w:hAnsi="宋体" w:eastAsia="宋体" w:cs="宋体"/>
          <w:sz w:val="24"/>
          <w:szCs w:val="24"/>
        </w:rPr>
        <w:t>提供重保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值守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重保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值守</w:t>
      </w:r>
      <w:r>
        <w:rPr>
          <w:rFonts w:hint="eastAsia" w:ascii="宋体" w:hAnsi="宋体" w:eastAsia="宋体" w:cs="宋体"/>
          <w:sz w:val="24"/>
          <w:szCs w:val="24"/>
        </w:rPr>
        <w:t>服务期间提供攻击诱捕与威胁检测系统一套。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服务内容</w:t>
      </w:r>
      <w:r>
        <w:rPr>
          <w:rFonts w:hint="eastAsia" w:ascii="宋体" w:hAnsi="宋体" w:eastAsia="宋体" w:cs="宋体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在重要时期或重要活动</w:t>
      </w:r>
      <w:r>
        <w:rPr>
          <w:rFonts w:hint="eastAsia" w:ascii="宋体" w:hAnsi="宋体" w:eastAsia="宋体" w:cs="宋体"/>
          <w:sz w:val="24"/>
          <w:szCs w:val="24"/>
        </w:rPr>
        <w:t>期间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提供服务工程师，在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核心节点驻守，协助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监测、防护网络攻击并进行追踪、取证、溯源分析，及时发现和处置各种网络攻击事件，确保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指定信息系统的安全。要求充分利用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现有各种安全防护、监测设备，对全部攻击行为进行实时监测，攻击监测数据必须具备实时性、全面性及可视化能力，能够进行攻击者行为审计，必要时进行攻击行为阻断，确保所有攻击行为处于受控状态。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12、安全通告服务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提供不定期的安全通告服务。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服务内容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通告包括安全漏洞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补丁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通告、安全威胁通告、安全业界动态、恶意代码防范、紧急通告等多项内容，同时提供“紧急安全漏洞通告”和“紧急安全威胁通告”。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并在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第一时间进行相关安全通告的整理并以正式邮件等形式及时告知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安全管理人员。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13、协助信息安全整改服务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对发现的网络安全问题协助采购人进行整改。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服务内容：针对在日常运维过程中发现的网络安全问题，需要协助采购人相关技术人员进行整改。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14、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服务工具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：合同期内，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提供一套满足安全服务工作的工具供采购人使用，为了防止数据泄露，要求服务工具须本地部署。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服务工具要求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须与原有安全服务工具进行数据对接，无需二次数据采集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服务工具须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攻击面管理、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资产探测及管理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威胁诱捕、主机安全、流量监测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精准发现问题、快速解决问题、有效控制风险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，提供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上述描述相关能力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授权许可。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服务工具授权许可：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1)提供攻击面管理功能授权许可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2)提供资产探测及管理功能授权许可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3)提供威胁诱捕功能授权许可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4)提供主机安全功能授权许可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5)提供流量监测功能授权许可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提供安全服务工具对接承诺函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（响应文件中须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盖章确认的承诺函证明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）。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项目团队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供应商须为本项目拟派不少于4人的项目团队，其中须包含一名项目经理。</w:t>
      </w:r>
    </w:p>
    <w:p>
      <w:pPr>
        <w:pStyle w:val="3"/>
        <w:rPr>
          <w:rFonts w:hint="eastAsia" w:ascii="宋体" w:hAnsi="宋体"/>
          <w:b/>
          <w:color w:val="auto"/>
          <w:sz w:val="24"/>
          <w:highlight w:val="none"/>
        </w:rPr>
      </w:pPr>
    </w:p>
    <w:p>
      <w:r>
        <w:rPr>
          <w:rFonts w:hint="eastAsia" w:ascii="宋体" w:hAnsi="宋体"/>
          <w:b/>
          <w:color w:val="auto"/>
          <w:sz w:val="24"/>
          <w:highlight w:val="none"/>
        </w:rPr>
        <w:t>注：以上“技术要求”为实质性要求，必须完全满足，否则响应无效。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A8D8F"/>
    <w:multiLevelType w:val="singleLevel"/>
    <w:tmpl w:val="8B3A8D8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88B3B0D"/>
    <w:multiLevelType w:val="singleLevel"/>
    <w:tmpl w:val="B88B3B0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D6C47FF"/>
    <w:multiLevelType w:val="singleLevel"/>
    <w:tmpl w:val="FD6C47FF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0F5C4B9B"/>
    <w:rsid w:val="0F5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2024-05-23T12:04:00Z</dcterms:created>
  <dc:creator>包泽宁</dc:creator>
  <cp:lastModifiedBy>包泽宁</cp:lastModifiedBy>
  <dcterms:modified xsi:type="dcterms:W3CDTF">2024-05-23T12:04:37Z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2D318D9748094E70A10E4FAB4E628A53_11</vt:lpwstr>
  </property>
</Properties>
</file>