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78370">
      <w:pPr>
        <w:pStyle w:val="4"/>
        <w:numPr>
          <w:ilvl w:val="0"/>
          <w:numId w:val="0"/>
        </w:numPr>
        <w:spacing w:before="0" w:after="0"/>
        <w:jc w:val="center"/>
        <w:rPr>
          <w:rFonts w:hint="eastAsia" w:ascii="宋体" w:hAnsi="宋体" w:eastAsia="宋体"/>
          <w:bCs/>
          <w:color w:val="000000"/>
          <w:sz w:val="28"/>
          <w:szCs w:val="28"/>
        </w:rPr>
      </w:pPr>
      <w:bookmarkStart w:id="0" w:name="_Toc6437"/>
      <w:bookmarkStart w:id="1" w:name="_Toc11816"/>
      <w:r>
        <w:rPr>
          <w:rFonts w:hint="eastAsia" w:ascii="宋体" w:hAnsi="宋体" w:eastAsia="宋体"/>
          <w:bCs/>
          <w:color w:val="000000"/>
          <w:sz w:val="28"/>
          <w:szCs w:val="28"/>
        </w:rPr>
        <w:t>一、技术要求</w:t>
      </w:r>
      <w:bookmarkEnd w:id="0"/>
      <w:bookmarkEnd w:id="1"/>
    </w:p>
    <w:p w14:paraId="5F20B813">
      <w:pPr>
        <w:rPr>
          <w:rFonts w:hint="eastAsia"/>
        </w:rPr>
      </w:pPr>
    </w:p>
    <w:p w14:paraId="12978C35">
      <w:pPr>
        <w:pStyle w:val="7"/>
        <w:numPr>
          <w:ilvl w:val="0"/>
          <w:numId w:val="2"/>
        </w:numPr>
        <w:ind w:firstLine="482"/>
        <w:rPr>
          <w:rFonts w:hint="eastAsia" w:ascii="宋体" w:hAnsi="宋体" w:cs="宋体"/>
          <w:b/>
          <w:bCs/>
        </w:rPr>
      </w:pPr>
      <w:r>
        <w:rPr>
          <w:rFonts w:hint="eastAsia" w:ascii="宋体" w:hAnsi="宋体" w:cs="宋体"/>
          <w:b/>
          <w:bCs/>
        </w:rPr>
        <w:t>项目总体要求</w:t>
      </w:r>
    </w:p>
    <w:p w14:paraId="367AD518">
      <w:pPr>
        <w:pStyle w:val="7"/>
        <w:ind w:firstLine="480"/>
        <w:rPr>
          <w:rFonts w:ascii="宋体" w:hAnsi="宋体" w:cs="宋体"/>
          <w:b/>
          <w:bCs/>
        </w:rPr>
      </w:pPr>
      <w:r>
        <w:rPr>
          <w:rFonts w:hint="eastAsia" w:ascii="宋体" w:hAnsi="宋体" w:cs="宋体"/>
        </w:rPr>
        <w:t>本项目针对江铃汽车集团财务有限公司消费金融部贷款业务，委托第三方催收机构进行催收作业，提供专业的汽车贷款非诉讼催收服务。在不违反法律法规、不影响公司品牌形象的前提下，追求逾期贷款回收的最大化。</w:t>
      </w:r>
    </w:p>
    <w:p w14:paraId="35C46A57">
      <w:pPr>
        <w:pStyle w:val="7"/>
        <w:ind w:firstLine="482"/>
        <w:rPr>
          <w:rFonts w:hint="eastAsia" w:ascii="宋体" w:hAnsi="宋体" w:cs="宋体"/>
          <w:b/>
          <w:bCs/>
        </w:rPr>
      </w:pPr>
      <w:r>
        <w:rPr>
          <w:rFonts w:hint="eastAsia" w:ascii="宋体" w:hAnsi="宋体" w:cs="宋体"/>
          <w:b/>
          <w:bCs/>
        </w:rPr>
        <w:t>（二）费率和回款率要求：</w:t>
      </w:r>
    </w:p>
    <w:p w14:paraId="1E5A18EA">
      <w:pPr>
        <w:pStyle w:val="7"/>
        <w:ind w:firstLine="482"/>
        <w:rPr>
          <w:rFonts w:hint="eastAsia" w:ascii="宋体" w:hAnsi="宋体" w:cs="宋体"/>
          <w:color w:val="000000"/>
        </w:rPr>
      </w:pPr>
      <w:r>
        <w:rPr>
          <w:rFonts w:hint="eastAsia" w:ascii="宋体" w:hAnsi="宋体" w:cs="宋体"/>
          <w:b/>
          <w:bCs/>
          <w:color w:val="000000"/>
        </w:rPr>
        <w:t>（1）费率要求：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4"/>
        <w:gridCol w:w="4927"/>
      </w:tblGrid>
      <w:tr w14:paraId="60B4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33C14782">
            <w:pPr>
              <w:pStyle w:val="7"/>
              <w:ind w:firstLine="0" w:firstLineChars="0"/>
              <w:jc w:val="center"/>
              <w:rPr>
                <w:rFonts w:hint="eastAsia" w:ascii="宋体" w:hAnsi="宋体" w:cs="宋体"/>
                <w:b/>
                <w:bCs/>
                <w:color w:val="000000"/>
              </w:rPr>
            </w:pPr>
            <w:r>
              <w:rPr>
                <w:rFonts w:hint="eastAsia" w:ascii="宋体" w:hAnsi="宋体" w:cs="宋体"/>
                <w:b/>
                <w:bCs/>
                <w:color w:val="000000"/>
              </w:rPr>
              <w:t>委外案件逾期时间</w:t>
            </w:r>
          </w:p>
        </w:tc>
        <w:tc>
          <w:tcPr>
            <w:tcW w:w="4927" w:type="dxa"/>
            <w:noWrap w:val="0"/>
            <w:vAlign w:val="top"/>
          </w:tcPr>
          <w:p w14:paraId="05AC68CD">
            <w:pPr>
              <w:pStyle w:val="7"/>
              <w:ind w:firstLine="0" w:firstLineChars="0"/>
              <w:jc w:val="center"/>
              <w:rPr>
                <w:rFonts w:hint="eastAsia" w:ascii="宋体" w:hAnsi="宋体" w:cs="宋体"/>
                <w:b/>
                <w:bCs/>
                <w:color w:val="000000"/>
              </w:rPr>
            </w:pPr>
            <w:r>
              <w:rPr>
                <w:rFonts w:hint="eastAsia" w:ascii="宋体" w:hAnsi="宋体" w:cs="宋体"/>
                <w:b/>
                <w:bCs/>
                <w:color w:val="000000"/>
              </w:rPr>
              <w:t>单项费率最高限价（按回款金额计算）</w:t>
            </w:r>
          </w:p>
        </w:tc>
      </w:tr>
      <w:tr w14:paraId="0E47A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4222CDBA">
            <w:pPr>
              <w:pStyle w:val="7"/>
              <w:ind w:firstLine="0" w:firstLineChars="0"/>
              <w:jc w:val="center"/>
              <w:rPr>
                <w:rFonts w:hint="eastAsia" w:ascii="宋体" w:hAnsi="宋体" w:cs="宋体"/>
                <w:color w:val="000000"/>
              </w:rPr>
            </w:pPr>
            <w:r>
              <w:rPr>
                <w:rFonts w:hint="eastAsia" w:ascii="宋体" w:hAnsi="宋体" w:cs="宋体"/>
                <w:color w:val="000000"/>
              </w:rPr>
              <w:t>0-10天</w:t>
            </w:r>
          </w:p>
        </w:tc>
        <w:tc>
          <w:tcPr>
            <w:tcW w:w="4927" w:type="dxa"/>
            <w:noWrap w:val="0"/>
            <w:vAlign w:val="top"/>
          </w:tcPr>
          <w:p w14:paraId="21832437">
            <w:pPr>
              <w:pStyle w:val="7"/>
              <w:ind w:firstLine="0" w:firstLineChars="0"/>
              <w:jc w:val="center"/>
              <w:rPr>
                <w:rFonts w:hint="eastAsia" w:ascii="宋体" w:hAnsi="宋体" w:cs="宋体"/>
                <w:color w:val="000000"/>
              </w:rPr>
            </w:pPr>
            <w:r>
              <w:rPr>
                <w:rFonts w:hint="eastAsia" w:ascii="宋体" w:hAnsi="宋体" w:cs="宋体"/>
                <w:color w:val="000000"/>
              </w:rPr>
              <w:t>1.5%</w:t>
            </w:r>
          </w:p>
        </w:tc>
      </w:tr>
      <w:tr w14:paraId="2691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53DA8F84">
            <w:pPr>
              <w:pStyle w:val="7"/>
              <w:ind w:firstLine="0" w:firstLineChars="0"/>
              <w:jc w:val="center"/>
              <w:rPr>
                <w:rFonts w:hint="eastAsia" w:ascii="宋体" w:hAnsi="宋体" w:cs="宋体"/>
                <w:color w:val="000000"/>
              </w:rPr>
            </w:pPr>
            <w:r>
              <w:rPr>
                <w:rFonts w:hint="eastAsia" w:ascii="宋体" w:hAnsi="宋体" w:cs="宋体"/>
                <w:color w:val="000000"/>
              </w:rPr>
              <w:t>11-60天</w:t>
            </w:r>
          </w:p>
        </w:tc>
        <w:tc>
          <w:tcPr>
            <w:tcW w:w="4927" w:type="dxa"/>
            <w:noWrap w:val="0"/>
            <w:vAlign w:val="top"/>
          </w:tcPr>
          <w:p w14:paraId="2354828E">
            <w:pPr>
              <w:pStyle w:val="7"/>
              <w:ind w:firstLine="0" w:firstLineChars="0"/>
              <w:jc w:val="center"/>
              <w:rPr>
                <w:rFonts w:hint="eastAsia" w:ascii="宋体" w:hAnsi="宋体" w:cs="宋体"/>
                <w:color w:val="000000"/>
              </w:rPr>
            </w:pPr>
            <w:r>
              <w:rPr>
                <w:rFonts w:hint="eastAsia" w:ascii="宋体" w:hAnsi="宋体" w:cs="宋体"/>
                <w:color w:val="000000"/>
              </w:rPr>
              <w:t>7%</w:t>
            </w:r>
          </w:p>
        </w:tc>
      </w:tr>
      <w:tr w14:paraId="4E1B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060A3474">
            <w:pPr>
              <w:pStyle w:val="7"/>
              <w:ind w:firstLine="0" w:firstLineChars="0"/>
              <w:jc w:val="center"/>
              <w:rPr>
                <w:rFonts w:hint="eastAsia" w:ascii="宋体" w:hAnsi="宋体" w:cs="宋体"/>
                <w:color w:val="000000"/>
              </w:rPr>
            </w:pPr>
            <w:r>
              <w:rPr>
                <w:rFonts w:hint="eastAsia" w:ascii="宋体" w:hAnsi="宋体" w:cs="宋体"/>
                <w:color w:val="000000"/>
              </w:rPr>
              <w:t>61-90天</w:t>
            </w:r>
          </w:p>
        </w:tc>
        <w:tc>
          <w:tcPr>
            <w:tcW w:w="4927" w:type="dxa"/>
            <w:noWrap w:val="0"/>
            <w:vAlign w:val="top"/>
          </w:tcPr>
          <w:p w14:paraId="18C1ACEF">
            <w:pPr>
              <w:pStyle w:val="7"/>
              <w:ind w:firstLine="0" w:firstLineChars="0"/>
              <w:jc w:val="center"/>
              <w:rPr>
                <w:rFonts w:hint="eastAsia" w:ascii="宋体" w:hAnsi="宋体" w:cs="宋体"/>
                <w:color w:val="000000"/>
              </w:rPr>
            </w:pPr>
            <w:r>
              <w:rPr>
                <w:rFonts w:hint="eastAsia" w:ascii="宋体" w:hAnsi="宋体" w:cs="宋体"/>
                <w:color w:val="000000"/>
              </w:rPr>
              <w:t>10%</w:t>
            </w:r>
          </w:p>
        </w:tc>
      </w:tr>
      <w:tr w14:paraId="3869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7714A011">
            <w:pPr>
              <w:pStyle w:val="7"/>
              <w:ind w:firstLine="0" w:firstLineChars="0"/>
              <w:jc w:val="center"/>
              <w:rPr>
                <w:rFonts w:hint="eastAsia" w:ascii="宋体" w:hAnsi="宋体" w:cs="宋体"/>
                <w:color w:val="000000"/>
              </w:rPr>
            </w:pPr>
            <w:r>
              <w:rPr>
                <w:rFonts w:hint="eastAsia" w:ascii="宋体" w:hAnsi="宋体" w:cs="宋体"/>
                <w:color w:val="000000"/>
              </w:rPr>
              <w:t>91-180天</w:t>
            </w:r>
          </w:p>
        </w:tc>
        <w:tc>
          <w:tcPr>
            <w:tcW w:w="4927" w:type="dxa"/>
            <w:noWrap w:val="0"/>
            <w:vAlign w:val="top"/>
          </w:tcPr>
          <w:p w14:paraId="0360B0C1">
            <w:pPr>
              <w:pStyle w:val="7"/>
              <w:ind w:firstLine="0" w:firstLineChars="0"/>
              <w:jc w:val="center"/>
              <w:rPr>
                <w:rFonts w:hint="eastAsia" w:ascii="宋体" w:hAnsi="宋体" w:cs="宋体"/>
                <w:color w:val="000000"/>
              </w:rPr>
            </w:pPr>
            <w:r>
              <w:rPr>
                <w:rFonts w:hint="eastAsia" w:ascii="宋体" w:hAnsi="宋体" w:cs="宋体"/>
                <w:color w:val="000000"/>
              </w:rPr>
              <w:t>15%</w:t>
            </w:r>
          </w:p>
        </w:tc>
      </w:tr>
      <w:tr w14:paraId="46C1E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0969F008">
            <w:pPr>
              <w:pStyle w:val="7"/>
              <w:ind w:firstLine="0" w:firstLineChars="0"/>
              <w:jc w:val="center"/>
              <w:rPr>
                <w:rFonts w:hint="eastAsia" w:ascii="宋体" w:hAnsi="宋体" w:cs="宋体"/>
                <w:color w:val="000000"/>
              </w:rPr>
            </w:pPr>
            <w:r>
              <w:rPr>
                <w:rFonts w:hint="eastAsia" w:ascii="宋体" w:hAnsi="宋体" w:cs="宋体"/>
                <w:color w:val="000000"/>
              </w:rPr>
              <w:t>181天-360天</w:t>
            </w:r>
          </w:p>
        </w:tc>
        <w:tc>
          <w:tcPr>
            <w:tcW w:w="4927" w:type="dxa"/>
            <w:noWrap w:val="0"/>
            <w:vAlign w:val="top"/>
          </w:tcPr>
          <w:p w14:paraId="15876E06">
            <w:pPr>
              <w:pStyle w:val="7"/>
              <w:ind w:firstLine="0" w:firstLineChars="0"/>
              <w:jc w:val="center"/>
              <w:rPr>
                <w:rFonts w:hint="eastAsia" w:ascii="宋体" w:hAnsi="宋体" w:cs="宋体"/>
                <w:color w:val="000000"/>
              </w:rPr>
            </w:pPr>
            <w:r>
              <w:rPr>
                <w:rFonts w:hint="eastAsia" w:ascii="宋体" w:hAnsi="宋体" w:cs="宋体"/>
                <w:color w:val="000000"/>
              </w:rPr>
              <w:t>20%</w:t>
            </w:r>
          </w:p>
        </w:tc>
      </w:tr>
      <w:tr w14:paraId="5C64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4" w:type="dxa"/>
            <w:noWrap w:val="0"/>
            <w:vAlign w:val="top"/>
          </w:tcPr>
          <w:p w14:paraId="33A6E1FB">
            <w:pPr>
              <w:pStyle w:val="7"/>
              <w:ind w:firstLine="0" w:firstLineChars="0"/>
              <w:jc w:val="center"/>
              <w:rPr>
                <w:rFonts w:hint="eastAsia" w:ascii="宋体" w:hAnsi="宋体" w:cs="宋体"/>
                <w:color w:val="000000"/>
              </w:rPr>
            </w:pPr>
            <w:r>
              <w:rPr>
                <w:rFonts w:hint="eastAsia" w:ascii="宋体" w:hAnsi="宋体" w:cs="宋体"/>
                <w:color w:val="000000"/>
              </w:rPr>
              <w:t>361天以上</w:t>
            </w:r>
          </w:p>
        </w:tc>
        <w:tc>
          <w:tcPr>
            <w:tcW w:w="4927" w:type="dxa"/>
            <w:noWrap w:val="0"/>
            <w:vAlign w:val="top"/>
          </w:tcPr>
          <w:p w14:paraId="7B1A9B1F">
            <w:pPr>
              <w:pStyle w:val="7"/>
              <w:ind w:firstLine="0" w:firstLineChars="0"/>
              <w:jc w:val="center"/>
              <w:rPr>
                <w:rFonts w:hint="eastAsia" w:ascii="宋体" w:hAnsi="宋体" w:cs="宋体"/>
                <w:color w:val="000000"/>
              </w:rPr>
            </w:pPr>
            <w:r>
              <w:rPr>
                <w:rFonts w:hint="eastAsia" w:ascii="宋体" w:hAnsi="宋体" w:cs="宋体"/>
                <w:color w:val="000000"/>
              </w:rPr>
              <w:t>25%</w:t>
            </w:r>
          </w:p>
        </w:tc>
      </w:tr>
    </w:tbl>
    <w:p w14:paraId="2A71233C">
      <w:pPr>
        <w:pStyle w:val="7"/>
        <w:ind w:firstLine="482"/>
        <w:rPr>
          <w:rFonts w:hint="eastAsia" w:ascii="宋体" w:hAnsi="宋体" w:cs="宋体"/>
          <w:b/>
          <w:bCs/>
          <w:color w:val="000000"/>
        </w:rPr>
      </w:pPr>
      <w:r>
        <w:rPr>
          <w:rFonts w:hint="eastAsia" w:ascii="宋体" w:hAnsi="宋体" w:cs="宋体"/>
          <w:b/>
          <w:bCs/>
          <w:color w:val="000000"/>
        </w:rPr>
        <w:t>备注：投标人投报的单项费率不可高于单项费率最高限价，</w:t>
      </w:r>
      <w:r>
        <w:rPr>
          <w:rFonts w:hint="eastAsia" w:ascii="宋体" w:hAnsi="宋体" w:cs="宋体"/>
          <w:b/>
          <w:bCs/>
          <w:spacing w:val="2"/>
          <w:kern w:val="0"/>
        </w:rPr>
        <w:t>否则投标无效。</w:t>
      </w:r>
    </w:p>
    <w:p w14:paraId="5F0F82F9">
      <w:pPr>
        <w:pStyle w:val="7"/>
        <w:numPr>
          <w:ilvl w:val="0"/>
          <w:numId w:val="3"/>
        </w:numPr>
        <w:ind w:firstLine="482"/>
        <w:rPr>
          <w:rFonts w:hint="eastAsia" w:ascii="宋体" w:hAnsi="宋体" w:cs="宋体"/>
          <w:b/>
          <w:bCs/>
          <w:color w:val="000000"/>
        </w:rPr>
      </w:pPr>
      <w:r>
        <w:rPr>
          <w:rFonts w:hint="eastAsia" w:ascii="宋体" w:hAnsi="宋体" w:cs="宋体"/>
          <w:b/>
          <w:bCs/>
          <w:color w:val="000000"/>
        </w:rPr>
        <w:t>回款率要求：</w:t>
      </w:r>
    </w:p>
    <w:tbl>
      <w:tblPr>
        <w:tblStyle w:val="5"/>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2833"/>
        <w:gridCol w:w="3791"/>
      </w:tblGrid>
      <w:tr w14:paraId="57A19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897" w:type="dxa"/>
            <w:noWrap w:val="0"/>
            <w:vAlign w:val="center"/>
          </w:tcPr>
          <w:p w14:paraId="098831F0">
            <w:pPr>
              <w:jc w:val="both"/>
              <w:rPr>
                <w:rFonts w:hint="eastAsia" w:ascii="宋体" w:hAnsi="宋体" w:cs="宋体"/>
                <w:sz w:val="21"/>
                <w:szCs w:val="21"/>
              </w:rPr>
            </w:pPr>
            <w:r>
              <w:rPr>
                <w:rFonts w:hint="eastAsia" w:ascii="宋体" w:hAnsi="宋体" w:cs="宋体"/>
                <w:sz w:val="21"/>
                <w:szCs w:val="21"/>
              </w:rPr>
              <w:t>委外案件逾期时间</w:t>
            </w:r>
          </w:p>
        </w:tc>
        <w:tc>
          <w:tcPr>
            <w:tcW w:w="2833" w:type="dxa"/>
            <w:noWrap w:val="0"/>
            <w:vAlign w:val="top"/>
          </w:tcPr>
          <w:p w14:paraId="32F3A3ED">
            <w:pPr>
              <w:ind w:firstLine="420" w:firstLineChars="200"/>
              <w:jc w:val="center"/>
              <w:rPr>
                <w:rFonts w:hint="eastAsia" w:ascii="宋体" w:hAnsi="宋体" w:cs="宋体"/>
                <w:sz w:val="21"/>
                <w:szCs w:val="21"/>
              </w:rPr>
            </w:pPr>
            <w:r>
              <w:rPr>
                <w:rFonts w:hint="eastAsia" w:ascii="宋体" w:hAnsi="宋体" w:cs="宋体"/>
                <w:sz w:val="21"/>
                <w:szCs w:val="21"/>
              </w:rPr>
              <w:t>日常管理指标（回款率）</w:t>
            </w:r>
          </w:p>
        </w:tc>
        <w:tc>
          <w:tcPr>
            <w:tcW w:w="3791" w:type="dxa"/>
            <w:noWrap w:val="0"/>
            <w:vAlign w:val="top"/>
          </w:tcPr>
          <w:p w14:paraId="35979BAD">
            <w:pPr>
              <w:ind w:firstLine="420" w:firstLineChars="200"/>
              <w:jc w:val="center"/>
              <w:rPr>
                <w:rFonts w:ascii="宋体" w:hAnsi="宋体" w:cs="宋体"/>
                <w:sz w:val="21"/>
                <w:szCs w:val="21"/>
              </w:rPr>
            </w:pPr>
            <w:r>
              <w:rPr>
                <w:rFonts w:hint="eastAsia" w:ascii="宋体" w:hAnsi="宋体" w:cs="宋体"/>
                <w:sz w:val="21"/>
                <w:szCs w:val="21"/>
              </w:rPr>
              <w:t>终止合作指标（回款率）</w:t>
            </w:r>
          </w:p>
        </w:tc>
      </w:tr>
      <w:tr w14:paraId="5023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897" w:type="dxa"/>
            <w:noWrap w:val="0"/>
            <w:vAlign w:val="center"/>
          </w:tcPr>
          <w:p w14:paraId="452D5846">
            <w:pPr>
              <w:ind w:firstLine="420" w:firstLineChars="200"/>
              <w:jc w:val="both"/>
              <w:rPr>
                <w:rFonts w:hint="eastAsia" w:ascii="宋体" w:hAnsi="宋体" w:cs="宋体"/>
                <w:sz w:val="21"/>
                <w:szCs w:val="21"/>
              </w:rPr>
            </w:pPr>
            <w:r>
              <w:rPr>
                <w:rFonts w:hint="eastAsia" w:ascii="宋体" w:hAnsi="宋体" w:cs="宋体"/>
                <w:sz w:val="21"/>
                <w:szCs w:val="21"/>
              </w:rPr>
              <w:t>0-10天</w:t>
            </w:r>
          </w:p>
        </w:tc>
        <w:tc>
          <w:tcPr>
            <w:tcW w:w="2833" w:type="dxa"/>
            <w:noWrap w:val="0"/>
            <w:vAlign w:val="top"/>
          </w:tcPr>
          <w:p w14:paraId="6CA3358A">
            <w:pPr>
              <w:ind w:firstLine="420" w:firstLineChars="200"/>
              <w:jc w:val="center"/>
              <w:rPr>
                <w:rFonts w:hint="eastAsia" w:ascii="宋体" w:hAnsi="宋体" w:cs="宋体"/>
                <w:sz w:val="21"/>
                <w:szCs w:val="21"/>
              </w:rPr>
            </w:pPr>
            <w:r>
              <w:rPr>
                <w:rFonts w:hint="eastAsia" w:ascii="宋体" w:hAnsi="宋体" w:cs="宋体"/>
                <w:sz w:val="21"/>
                <w:szCs w:val="21"/>
              </w:rPr>
              <w:t>≥90%</w:t>
            </w:r>
          </w:p>
        </w:tc>
        <w:tc>
          <w:tcPr>
            <w:tcW w:w="3791" w:type="dxa"/>
            <w:noWrap w:val="0"/>
            <w:vAlign w:val="top"/>
          </w:tcPr>
          <w:p w14:paraId="6F558EAB">
            <w:pPr>
              <w:ind w:firstLine="420" w:firstLineChars="200"/>
              <w:jc w:val="center"/>
              <w:rPr>
                <w:rFonts w:hint="eastAsia" w:ascii="宋体" w:hAnsi="宋体" w:cs="宋体"/>
                <w:sz w:val="21"/>
                <w:szCs w:val="21"/>
              </w:rPr>
            </w:pPr>
            <w:r>
              <w:rPr>
                <w:rFonts w:hint="eastAsia" w:ascii="宋体" w:hAnsi="宋体" w:cs="宋体"/>
                <w:sz w:val="21"/>
                <w:szCs w:val="21"/>
              </w:rPr>
              <w:t>≤85%</w:t>
            </w:r>
          </w:p>
        </w:tc>
      </w:tr>
      <w:tr w14:paraId="70FEF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897" w:type="dxa"/>
            <w:noWrap w:val="0"/>
            <w:vAlign w:val="center"/>
          </w:tcPr>
          <w:p w14:paraId="388A7656">
            <w:pPr>
              <w:ind w:firstLine="420" w:firstLineChars="200"/>
              <w:jc w:val="both"/>
              <w:rPr>
                <w:rFonts w:hint="eastAsia" w:ascii="宋体" w:hAnsi="宋体" w:cs="宋体"/>
                <w:sz w:val="21"/>
                <w:szCs w:val="21"/>
              </w:rPr>
            </w:pPr>
            <w:r>
              <w:rPr>
                <w:rFonts w:hint="eastAsia" w:ascii="宋体" w:hAnsi="宋体" w:cs="宋体"/>
                <w:sz w:val="21"/>
                <w:szCs w:val="21"/>
              </w:rPr>
              <w:t>11-90天</w:t>
            </w:r>
          </w:p>
        </w:tc>
        <w:tc>
          <w:tcPr>
            <w:tcW w:w="2833" w:type="dxa"/>
            <w:noWrap w:val="0"/>
            <w:vAlign w:val="top"/>
          </w:tcPr>
          <w:p w14:paraId="63B55DA0">
            <w:pPr>
              <w:ind w:firstLine="420" w:firstLineChars="200"/>
              <w:jc w:val="center"/>
              <w:rPr>
                <w:rFonts w:hint="eastAsia" w:ascii="宋体" w:hAnsi="宋体" w:cs="宋体"/>
                <w:sz w:val="21"/>
                <w:szCs w:val="21"/>
              </w:rPr>
            </w:pPr>
            <w:r>
              <w:rPr>
                <w:rFonts w:hint="eastAsia" w:ascii="宋体" w:hAnsi="宋体" w:cs="宋体"/>
                <w:sz w:val="21"/>
                <w:szCs w:val="21"/>
              </w:rPr>
              <w:t>≥50%</w:t>
            </w:r>
          </w:p>
        </w:tc>
        <w:tc>
          <w:tcPr>
            <w:tcW w:w="3791" w:type="dxa"/>
            <w:noWrap w:val="0"/>
            <w:vAlign w:val="top"/>
          </w:tcPr>
          <w:p w14:paraId="5B8772EA">
            <w:pPr>
              <w:ind w:firstLine="420" w:firstLineChars="200"/>
              <w:jc w:val="center"/>
              <w:rPr>
                <w:rFonts w:hint="eastAsia" w:ascii="宋体" w:hAnsi="宋体" w:cs="宋体"/>
                <w:sz w:val="21"/>
                <w:szCs w:val="21"/>
              </w:rPr>
            </w:pPr>
            <w:r>
              <w:rPr>
                <w:rFonts w:hint="eastAsia" w:ascii="宋体" w:hAnsi="宋体" w:cs="宋体"/>
                <w:sz w:val="21"/>
                <w:szCs w:val="21"/>
              </w:rPr>
              <w:t>≤40%</w:t>
            </w:r>
          </w:p>
          <w:p w14:paraId="6CEB7D8B">
            <w:pPr>
              <w:rPr>
                <w:rFonts w:ascii="宋体" w:hAnsi="宋体" w:cs="宋体"/>
                <w:sz w:val="21"/>
                <w:szCs w:val="21"/>
              </w:rPr>
            </w:pPr>
            <w:r>
              <w:rPr>
                <w:rFonts w:hint="eastAsia" w:ascii="宋体" w:hAnsi="宋体" w:cs="宋体"/>
                <w:sz w:val="21"/>
                <w:szCs w:val="21"/>
              </w:rPr>
              <w:t>（根据0-10天的回款情况做相应调整）</w:t>
            </w:r>
          </w:p>
        </w:tc>
      </w:tr>
      <w:tr w14:paraId="2D7E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97" w:type="dxa"/>
            <w:noWrap w:val="0"/>
            <w:vAlign w:val="center"/>
          </w:tcPr>
          <w:p w14:paraId="1F3EA71E">
            <w:pPr>
              <w:ind w:firstLine="420" w:firstLineChars="200"/>
              <w:jc w:val="both"/>
              <w:rPr>
                <w:rFonts w:hint="eastAsia" w:ascii="宋体" w:hAnsi="宋体" w:cs="宋体"/>
                <w:sz w:val="21"/>
                <w:szCs w:val="21"/>
              </w:rPr>
            </w:pPr>
            <w:r>
              <w:rPr>
                <w:rFonts w:hint="eastAsia" w:ascii="宋体" w:hAnsi="宋体" w:cs="宋体"/>
                <w:sz w:val="21"/>
                <w:szCs w:val="21"/>
              </w:rPr>
              <w:t>91天以上</w:t>
            </w:r>
          </w:p>
        </w:tc>
        <w:tc>
          <w:tcPr>
            <w:tcW w:w="6624" w:type="dxa"/>
            <w:gridSpan w:val="2"/>
            <w:noWrap w:val="0"/>
            <w:vAlign w:val="top"/>
          </w:tcPr>
          <w:p w14:paraId="70CDBA56">
            <w:pPr>
              <w:ind w:firstLine="420" w:firstLineChars="200"/>
              <w:jc w:val="center"/>
              <w:rPr>
                <w:rFonts w:hint="eastAsia" w:ascii="宋体" w:hAnsi="宋体" w:cs="宋体"/>
                <w:sz w:val="21"/>
                <w:szCs w:val="21"/>
              </w:rPr>
            </w:pPr>
            <w:r>
              <w:rPr>
                <w:rFonts w:hint="eastAsia" w:ascii="宋体" w:hAnsi="宋体" w:cs="宋体"/>
                <w:sz w:val="21"/>
                <w:szCs w:val="21"/>
              </w:rPr>
              <w:t>不做回款率考核</w:t>
            </w:r>
          </w:p>
        </w:tc>
      </w:tr>
    </w:tbl>
    <w:p w14:paraId="522FBB62">
      <w:pPr>
        <w:pStyle w:val="7"/>
        <w:ind w:firstLine="0" w:firstLineChars="0"/>
        <w:rPr>
          <w:rFonts w:hint="eastAsia" w:ascii="宋体" w:hAnsi="宋体" w:cs="宋体"/>
          <w:b/>
          <w:bCs/>
          <w:color w:val="000000"/>
        </w:rPr>
      </w:pPr>
    </w:p>
    <w:p w14:paraId="4C24E451">
      <w:pPr>
        <w:ind w:firstLine="480" w:firstLineChars="200"/>
        <w:rPr>
          <w:rFonts w:hint="eastAsia" w:ascii="宋体" w:hAnsi="宋体" w:cs="宋体"/>
          <w:color w:val="000000"/>
        </w:rPr>
      </w:pPr>
      <w:r>
        <w:rPr>
          <w:rFonts w:hint="eastAsia" w:ascii="宋体" w:hAnsi="宋体" w:cs="宋体"/>
          <w:color w:val="000000"/>
        </w:rPr>
        <w:t>回款率=回款金额/委案金额；委外代理费=回款金额*对应费率。</w:t>
      </w:r>
    </w:p>
    <w:p w14:paraId="77BE9842">
      <w:pPr>
        <w:pStyle w:val="7"/>
        <w:ind w:firstLine="480"/>
        <w:rPr>
          <w:rFonts w:hint="eastAsia" w:ascii="宋体" w:hAnsi="宋体" w:cs="宋体"/>
          <w:b/>
          <w:bCs/>
        </w:rPr>
      </w:pPr>
      <w:r>
        <w:rPr>
          <w:rFonts w:hint="eastAsia" w:ascii="宋体" w:hAnsi="宋体" w:cs="宋体"/>
          <w:color w:val="000000"/>
        </w:rPr>
        <w:t>若有减免结清委案，及要求全额催回，但只催回逾期部分的委案，回款率计算口径一律按照回款金额/委案金额计算；</w:t>
      </w:r>
      <w:r>
        <w:rPr>
          <w:rFonts w:hint="eastAsia" w:ascii="宋体" w:hAnsi="宋体" w:cs="宋体"/>
        </w:rPr>
        <w:t>若有我司要求撤案、停催委案，则我司会将该案件委外金额剔除，不计入回款率；若有需要延期的委案，采购人视回款情况决定是否留案，委外费率与延期前费率保持一致。</w:t>
      </w:r>
    </w:p>
    <w:p w14:paraId="7CEC93D9">
      <w:pPr>
        <w:pStyle w:val="7"/>
        <w:ind w:firstLine="482"/>
        <w:rPr>
          <w:rFonts w:hint="eastAsia" w:ascii="宋体" w:hAnsi="宋体" w:cs="宋体"/>
          <w:b/>
          <w:bCs/>
        </w:rPr>
      </w:pPr>
      <w:r>
        <w:rPr>
          <w:rFonts w:hint="eastAsia" w:ascii="宋体" w:hAnsi="宋体" w:cs="宋体"/>
          <w:b/>
          <w:bCs/>
        </w:rPr>
        <w:t>（3）针对逾期时间为0-10天的委外案件，采购人实行低档、标准档、高档三档的浮动回款率与费率，均按回款金额口径计算，按下图所示：</w:t>
      </w:r>
    </w:p>
    <w:tbl>
      <w:tblPr>
        <w:tblStyle w:val="5"/>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14:paraId="4A3C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right"/>
        </w:trPr>
        <w:tc>
          <w:tcPr>
            <w:tcW w:w="1249" w:type="pct"/>
            <w:noWrap w:val="0"/>
            <w:vAlign w:val="center"/>
          </w:tcPr>
          <w:p w14:paraId="4BEAD272">
            <w:pPr>
              <w:pStyle w:val="7"/>
              <w:ind w:firstLine="0" w:firstLineChars="0"/>
              <w:jc w:val="center"/>
              <w:rPr>
                <w:rFonts w:hint="eastAsia" w:ascii="宋体" w:hAnsi="宋体" w:cs="宋体"/>
                <w:b/>
                <w:bCs/>
              </w:rPr>
            </w:pPr>
            <w:r>
              <w:rPr>
                <w:rFonts w:hint="eastAsia" w:ascii="宋体" w:hAnsi="宋体" w:cs="宋体"/>
                <w:sz w:val="21"/>
                <w:szCs w:val="21"/>
              </w:rPr>
              <w:t>分级回款标准</w:t>
            </w:r>
          </w:p>
        </w:tc>
        <w:tc>
          <w:tcPr>
            <w:tcW w:w="1250" w:type="pct"/>
            <w:noWrap w:val="0"/>
            <w:vAlign w:val="center"/>
          </w:tcPr>
          <w:p w14:paraId="5E8DF432">
            <w:pPr>
              <w:pStyle w:val="7"/>
              <w:ind w:firstLine="0" w:firstLineChars="0"/>
              <w:jc w:val="center"/>
              <w:rPr>
                <w:rFonts w:hint="eastAsia" w:ascii="宋体" w:hAnsi="宋体" w:cs="宋体"/>
                <w:b/>
                <w:bCs/>
              </w:rPr>
            </w:pPr>
            <w:r>
              <w:rPr>
                <w:rFonts w:hint="eastAsia" w:ascii="宋体" w:hAnsi="宋体" w:cs="宋体"/>
                <w:b/>
                <w:bCs/>
              </w:rPr>
              <w:t>低档</w:t>
            </w:r>
          </w:p>
        </w:tc>
        <w:tc>
          <w:tcPr>
            <w:tcW w:w="1250" w:type="pct"/>
            <w:noWrap w:val="0"/>
            <w:vAlign w:val="center"/>
          </w:tcPr>
          <w:p w14:paraId="43DBFB7F">
            <w:pPr>
              <w:pStyle w:val="7"/>
              <w:ind w:firstLine="0" w:firstLineChars="0"/>
              <w:jc w:val="center"/>
              <w:rPr>
                <w:rFonts w:hint="eastAsia" w:ascii="宋体" w:hAnsi="宋体" w:cs="宋体"/>
                <w:b/>
                <w:bCs/>
              </w:rPr>
            </w:pPr>
            <w:r>
              <w:rPr>
                <w:rFonts w:hint="eastAsia" w:ascii="宋体" w:hAnsi="宋体" w:cs="宋体"/>
                <w:b/>
                <w:bCs/>
              </w:rPr>
              <w:t>标准档</w:t>
            </w:r>
          </w:p>
        </w:tc>
        <w:tc>
          <w:tcPr>
            <w:tcW w:w="1250" w:type="pct"/>
            <w:noWrap w:val="0"/>
            <w:vAlign w:val="center"/>
          </w:tcPr>
          <w:p w14:paraId="0C2D8FF7">
            <w:pPr>
              <w:pStyle w:val="7"/>
              <w:ind w:firstLine="0" w:firstLineChars="0"/>
              <w:jc w:val="center"/>
              <w:rPr>
                <w:rFonts w:hint="eastAsia" w:ascii="宋体" w:hAnsi="宋体" w:cs="宋体"/>
                <w:b/>
                <w:bCs/>
              </w:rPr>
            </w:pPr>
            <w:r>
              <w:rPr>
                <w:rFonts w:hint="eastAsia" w:ascii="宋体" w:hAnsi="宋体" w:cs="宋体"/>
                <w:b/>
                <w:bCs/>
              </w:rPr>
              <w:t>高档</w:t>
            </w:r>
          </w:p>
        </w:tc>
      </w:tr>
      <w:tr w14:paraId="29E2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right"/>
        </w:trPr>
        <w:tc>
          <w:tcPr>
            <w:tcW w:w="1249" w:type="pct"/>
            <w:noWrap w:val="0"/>
            <w:vAlign w:val="center"/>
          </w:tcPr>
          <w:p w14:paraId="40817564">
            <w:pPr>
              <w:pStyle w:val="7"/>
              <w:ind w:firstLine="0" w:firstLineChars="0"/>
              <w:jc w:val="center"/>
              <w:rPr>
                <w:rFonts w:hint="eastAsia" w:ascii="宋体" w:hAnsi="宋体" w:cs="宋体"/>
                <w:color w:val="000000"/>
              </w:rPr>
            </w:pPr>
            <w:r>
              <w:rPr>
                <w:rFonts w:hint="eastAsia" w:ascii="宋体" w:hAnsi="宋体" w:cs="宋体"/>
                <w:sz w:val="21"/>
                <w:szCs w:val="21"/>
              </w:rPr>
              <w:t>回款率(X)</w:t>
            </w:r>
          </w:p>
        </w:tc>
        <w:tc>
          <w:tcPr>
            <w:tcW w:w="1250" w:type="pct"/>
            <w:noWrap w:val="0"/>
            <w:vAlign w:val="center"/>
          </w:tcPr>
          <w:p w14:paraId="37F9143F">
            <w:pPr>
              <w:pStyle w:val="7"/>
              <w:ind w:firstLine="0" w:firstLineChars="0"/>
              <w:jc w:val="center"/>
              <w:rPr>
                <w:rFonts w:hint="eastAsia" w:ascii="宋体" w:hAnsi="宋体" w:cs="宋体"/>
                <w:color w:val="000000"/>
              </w:rPr>
            </w:pPr>
            <w:r>
              <w:rPr>
                <w:rFonts w:hint="eastAsia" w:ascii="宋体" w:hAnsi="宋体" w:cs="宋体"/>
                <w:sz w:val="21"/>
                <w:szCs w:val="21"/>
              </w:rPr>
              <w:t>85%</w:t>
            </w:r>
            <w:r>
              <w:rPr>
                <w:rFonts w:ascii="宋体" w:hAnsi="宋体" w:cs="宋体"/>
                <w:sz w:val="21"/>
                <w:szCs w:val="21"/>
              </w:rPr>
              <w:t>≤</w:t>
            </w:r>
            <w:r>
              <w:rPr>
                <w:rFonts w:hint="eastAsia" w:ascii="宋体" w:hAnsi="宋体" w:cs="宋体"/>
                <w:sz w:val="21"/>
                <w:szCs w:val="21"/>
              </w:rPr>
              <w:t>X&lt;90%</w:t>
            </w:r>
          </w:p>
        </w:tc>
        <w:tc>
          <w:tcPr>
            <w:tcW w:w="1250" w:type="pct"/>
            <w:noWrap w:val="0"/>
            <w:vAlign w:val="center"/>
          </w:tcPr>
          <w:p w14:paraId="6131DAB5">
            <w:pPr>
              <w:pStyle w:val="7"/>
              <w:ind w:firstLine="0" w:firstLineChars="0"/>
              <w:jc w:val="center"/>
              <w:rPr>
                <w:rFonts w:hint="eastAsia" w:ascii="宋体" w:hAnsi="宋体" w:cs="宋体"/>
                <w:color w:val="000000"/>
              </w:rPr>
            </w:pPr>
            <w:r>
              <w:rPr>
                <w:rFonts w:hint="eastAsia" w:ascii="宋体" w:hAnsi="宋体" w:cs="宋体"/>
                <w:sz w:val="21"/>
                <w:szCs w:val="21"/>
              </w:rPr>
              <w:t>90%</w:t>
            </w:r>
            <w:r>
              <w:rPr>
                <w:rFonts w:ascii="宋体" w:hAnsi="宋体" w:cs="宋体"/>
                <w:sz w:val="21"/>
                <w:szCs w:val="21"/>
              </w:rPr>
              <w:t>≤</w:t>
            </w:r>
            <w:r>
              <w:rPr>
                <w:rFonts w:hint="eastAsia" w:ascii="宋体" w:hAnsi="宋体" w:cs="宋体"/>
                <w:sz w:val="21"/>
                <w:szCs w:val="21"/>
              </w:rPr>
              <w:t>X</w:t>
            </w:r>
            <w:r>
              <w:rPr>
                <w:rFonts w:ascii="宋体" w:hAnsi="宋体" w:cs="宋体"/>
                <w:sz w:val="21"/>
                <w:szCs w:val="21"/>
              </w:rPr>
              <w:t>≤</w:t>
            </w:r>
            <w:r>
              <w:rPr>
                <w:rFonts w:hint="eastAsia" w:ascii="宋体" w:hAnsi="宋体" w:cs="宋体"/>
                <w:sz w:val="21"/>
                <w:szCs w:val="21"/>
              </w:rPr>
              <w:t>95%</w:t>
            </w:r>
          </w:p>
        </w:tc>
        <w:tc>
          <w:tcPr>
            <w:tcW w:w="1250" w:type="pct"/>
            <w:noWrap w:val="0"/>
            <w:vAlign w:val="center"/>
          </w:tcPr>
          <w:p w14:paraId="049EDA84">
            <w:pPr>
              <w:pStyle w:val="7"/>
              <w:ind w:firstLine="0" w:firstLineChars="0"/>
              <w:jc w:val="center"/>
              <w:rPr>
                <w:rFonts w:hint="eastAsia" w:ascii="宋体" w:hAnsi="宋体" w:cs="宋体"/>
                <w:color w:val="000000"/>
              </w:rPr>
            </w:pPr>
            <w:r>
              <w:rPr>
                <w:rFonts w:hint="eastAsia" w:ascii="宋体" w:hAnsi="宋体" w:cs="宋体"/>
                <w:sz w:val="21"/>
                <w:szCs w:val="21"/>
              </w:rPr>
              <w:t>95%&lt;X</w:t>
            </w:r>
            <w:r>
              <w:rPr>
                <w:rFonts w:ascii="宋体" w:hAnsi="宋体" w:cs="宋体"/>
                <w:sz w:val="21"/>
                <w:szCs w:val="21"/>
              </w:rPr>
              <w:t>≤</w:t>
            </w:r>
            <w:r>
              <w:rPr>
                <w:rFonts w:hint="eastAsia" w:ascii="宋体" w:hAnsi="宋体" w:cs="宋体"/>
                <w:sz w:val="21"/>
                <w:szCs w:val="21"/>
              </w:rPr>
              <w:t>100%</w:t>
            </w:r>
          </w:p>
        </w:tc>
      </w:tr>
      <w:tr w14:paraId="3F40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right"/>
        </w:trPr>
        <w:tc>
          <w:tcPr>
            <w:tcW w:w="1249" w:type="pct"/>
            <w:noWrap w:val="0"/>
            <w:vAlign w:val="center"/>
          </w:tcPr>
          <w:p w14:paraId="4BC95BE7">
            <w:pPr>
              <w:pStyle w:val="7"/>
              <w:ind w:firstLine="0" w:firstLineChars="0"/>
              <w:jc w:val="center"/>
              <w:rPr>
                <w:rFonts w:hint="eastAsia" w:ascii="宋体" w:hAnsi="宋体" w:cs="宋体"/>
              </w:rPr>
            </w:pPr>
            <w:r>
              <w:rPr>
                <w:rFonts w:hint="eastAsia" w:ascii="宋体" w:hAnsi="宋体" w:cs="宋体"/>
              </w:rPr>
              <w:t>费率</w:t>
            </w:r>
          </w:p>
        </w:tc>
        <w:tc>
          <w:tcPr>
            <w:tcW w:w="1250" w:type="pct"/>
            <w:noWrap w:val="0"/>
            <w:vAlign w:val="center"/>
          </w:tcPr>
          <w:p w14:paraId="46517276">
            <w:pPr>
              <w:pStyle w:val="7"/>
              <w:ind w:firstLine="0" w:firstLineChars="0"/>
              <w:jc w:val="center"/>
              <w:rPr>
                <w:rFonts w:hint="eastAsia" w:ascii="宋体" w:hAnsi="宋体" w:cs="宋体"/>
              </w:rPr>
            </w:pPr>
            <w:r>
              <w:rPr>
                <w:rFonts w:hint="eastAsia" w:ascii="宋体" w:hAnsi="宋体" w:cs="宋体"/>
              </w:rPr>
              <w:t>中标费率下调10%（结算费率保持2位小数）。回款率若低于标准档，则暂停后续分案。</w:t>
            </w:r>
          </w:p>
        </w:tc>
        <w:tc>
          <w:tcPr>
            <w:tcW w:w="1250" w:type="pct"/>
            <w:noWrap w:val="0"/>
            <w:vAlign w:val="center"/>
          </w:tcPr>
          <w:p w14:paraId="7184FADC">
            <w:pPr>
              <w:pStyle w:val="7"/>
              <w:ind w:firstLine="0" w:firstLineChars="0"/>
              <w:jc w:val="center"/>
              <w:rPr>
                <w:rFonts w:ascii="宋体" w:hAnsi="宋体" w:cs="宋体"/>
              </w:rPr>
            </w:pPr>
            <w:r>
              <w:rPr>
                <w:rFonts w:hint="eastAsia" w:ascii="宋体" w:hAnsi="宋体" w:cs="宋体"/>
              </w:rPr>
              <w:t>中标费率</w:t>
            </w:r>
          </w:p>
        </w:tc>
        <w:tc>
          <w:tcPr>
            <w:tcW w:w="1250" w:type="pct"/>
            <w:noWrap w:val="0"/>
            <w:vAlign w:val="center"/>
          </w:tcPr>
          <w:p w14:paraId="173B01D7">
            <w:pPr>
              <w:pStyle w:val="7"/>
              <w:ind w:firstLine="0" w:firstLineChars="0"/>
              <w:jc w:val="center"/>
              <w:rPr>
                <w:rFonts w:hint="eastAsia" w:ascii="宋体" w:hAnsi="宋体" w:cs="宋体"/>
              </w:rPr>
            </w:pPr>
            <w:r>
              <w:rPr>
                <w:rFonts w:hint="eastAsia" w:ascii="宋体" w:hAnsi="宋体" w:cs="宋体"/>
              </w:rPr>
              <w:t>中标费率上调10%（结算费率保持2位小数）。</w:t>
            </w:r>
          </w:p>
        </w:tc>
      </w:tr>
    </w:tbl>
    <w:p w14:paraId="1D1C0064">
      <w:pPr>
        <w:pStyle w:val="7"/>
        <w:numPr>
          <w:ilvl w:val="0"/>
          <w:numId w:val="4"/>
        </w:numPr>
        <w:ind w:firstLine="482"/>
        <w:rPr>
          <w:rFonts w:hint="eastAsia" w:ascii="宋体" w:hAnsi="宋体" w:cs="宋体"/>
          <w:b/>
          <w:bCs/>
        </w:rPr>
      </w:pPr>
      <w:r>
        <w:rPr>
          <w:rFonts w:hint="eastAsia" w:ascii="宋体" w:hAnsi="宋体" w:cs="宋体"/>
          <w:b/>
          <w:bCs/>
        </w:rPr>
        <w:t>发单与清退机制及要求：</w:t>
      </w:r>
    </w:p>
    <w:p w14:paraId="5A9FA716">
      <w:pPr>
        <w:pStyle w:val="7"/>
        <w:ind w:firstLine="482"/>
        <w:rPr>
          <w:rFonts w:hint="eastAsia" w:ascii="宋体" w:hAnsi="宋体" w:cs="宋体"/>
          <w:b/>
          <w:bCs/>
        </w:rPr>
      </w:pPr>
      <w:r>
        <w:rPr>
          <w:rFonts w:hint="eastAsia" w:ascii="宋体" w:hAnsi="宋体" w:cs="宋体"/>
          <w:b/>
          <w:bCs/>
        </w:rPr>
        <w:t>（1）发单机制：</w:t>
      </w:r>
    </w:p>
    <w:p w14:paraId="4AA52D8A">
      <w:pPr>
        <w:pStyle w:val="7"/>
        <w:ind w:firstLine="480"/>
        <w:rPr>
          <w:rFonts w:hint="eastAsia" w:ascii="宋体" w:hAnsi="宋体" w:cs="宋体"/>
        </w:rPr>
      </w:pPr>
      <w:r>
        <w:rPr>
          <w:rFonts w:hint="eastAsia" w:ascii="宋体" w:hAnsi="宋体" w:cs="宋体"/>
        </w:rPr>
        <w:t>采购人根据逾期时间，将委案分为三种委外类型：0-10天为月供委外；11-90天为短账龄委外；91天以上为长账龄委外。</w:t>
      </w:r>
      <w:bookmarkStart w:id="2" w:name="_GoBack"/>
      <w:bookmarkEnd w:id="2"/>
    </w:p>
    <w:p w14:paraId="22776FF2">
      <w:pPr>
        <w:pStyle w:val="7"/>
        <w:ind w:firstLine="480"/>
        <w:rPr>
          <w:rFonts w:hint="eastAsia" w:ascii="宋体" w:hAnsi="宋体" w:cs="宋体"/>
        </w:rPr>
      </w:pPr>
      <w:r>
        <w:rPr>
          <w:rFonts w:hint="eastAsia" w:ascii="宋体" w:hAnsi="宋体" w:cs="宋体"/>
        </w:rPr>
        <w:t>招标完成后，采购人实行3个月的首次委外轮催，根据轮催结果来派分后续委外案件类型与委外案件量。</w:t>
      </w:r>
    </w:p>
    <w:p w14:paraId="06141AEF">
      <w:pPr>
        <w:pStyle w:val="7"/>
        <w:ind w:firstLine="480"/>
        <w:rPr>
          <w:rFonts w:hint="eastAsia" w:ascii="宋体" w:hAnsi="宋体" w:cs="宋体"/>
        </w:rPr>
      </w:pPr>
      <w:r>
        <w:rPr>
          <w:rFonts w:hint="eastAsia" w:ascii="宋体" w:hAnsi="宋体" w:cs="宋体"/>
        </w:rPr>
        <w:t>本项目招标3家委外催收公司，以下假设为a、b、c公司。</w:t>
      </w:r>
    </w:p>
    <w:p w14:paraId="01A7C4E2">
      <w:pPr>
        <w:pStyle w:val="7"/>
        <w:ind w:firstLine="480"/>
        <w:rPr>
          <w:rFonts w:hint="eastAsia" w:ascii="宋体" w:hAnsi="宋体" w:cs="宋体"/>
        </w:rPr>
      </w:pPr>
      <w:r>
        <w:rPr>
          <w:rFonts w:hint="eastAsia" w:ascii="宋体" w:hAnsi="宋体" w:cs="宋体"/>
        </w:rPr>
        <w:t>第一个月，A公司承接该月所有的短账龄委外案件，以及三分之一的月供委外案件和长账龄委外案件。B公司和C公司各自承担剩余的三分之一月供委外案件和长账龄委外案件。</w:t>
      </w:r>
    </w:p>
    <w:p w14:paraId="73D02935">
      <w:pPr>
        <w:pStyle w:val="7"/>
        <w:ind w:firstLine="480"/>
        <w:rPr>
          <w:rFonts w:hint="eastAsia" w:ascii="宋体" w:hAnsi="宋体" w:cs="宋体"/>
        </w:rPr>
      </w:pPr>
      <w:r>
        <w:rPr>
          <w:rFonts w:hint="eastAsia" w:ascii="宋体" w:hAnsi="宋体" w:cs="宋体"/>
        </w:rPr>
        <w:t>第二个月，B公司承接当月全部短账龄委外案件，同时负责三分之一的月供委外案件和长账龄委外案件。A公司和C公司分别承担另外三分之一的月供委外案件和长账龄委外案件。</w:t>
      </w:r>
    </w:p>
    <w:p w14:paraId="30925265">
      <w:pPr>
        <w:pStyle w:val="7"/>
        <w:ind w:firstLine="480"/>
        <w:rPr>
          <w:rFonts w:hint="eastAsia" w:ascii="宋体" w:hAnsi="宋体" w:cs="宋体"/>
        </w:rPr>
      </w:pPr>
      <w:r>
        <w:rPr>
          <w:rFonts w:hint="eastAsia" w:ascii="宋体" w:hAnsi="宋体" w:cs="宋体"/>
        </w:rPr>
        <w:t>第三个月，C公司成为负责全部短账龄委外的主体，并承担三分之一的月供委外案件和长账龄委外案件。A公司与B公司则各分担剩下三分之一的月供委外案件和长账龄委外案件。三个月委外测试结束后，分别统计并对abc司各委外类型回款率进行排名。各委外类型排名每月进行，下月对应委外类型发单量依据上月该委外类型排名决定。具体发单情形如下：</w:t>
      </w:r>
    </w:p>
    <w:p w14:paraId="7B955BA6">
      <w:pPr>
        <w:pStyle w:val="7"/>
        <w:ind w:firstLine="480"/>
        <w:rPr>
          <w:rFonts w:hint="eastAsia" w:ascii="宋体" w:hAnsi="宋体" w:cs="宋体"/>
        </w:rPr>
      </w:pPr>
      <w:r>
        <w:rPr>
          <w:rFonts w:hint="eastAsia" w:ascii="宋体" w:hAnsi="宋体" w:cs="宋体"/>
        </w:rPr>
        <w:t>若三家公司都可达到采购人对应类型回款率要求，则后续发单规则如下：第一名将占采购人该类型委案50%案件量，第二名将占我司该类型委案30%案件量，第三名将占我司该类型委案20%案件量。</w:t>
      </w:r>
    </w:p>
    <w:p w14:paraId="123A4320">
      <w:pPr>
        <w:pStyle w:val="7"/>
        <w:ind w:firstLine="480"/>
        <w:rPr>
          <w:rFonts w:hint="eastAsia" w:ascii="宋体" w:hAnsi="宋体" w:cs="宋体"/>
        </w:rPr>
      </w:pPr>
      <w:r>
        <w:rPr>
          <w:rFonts w:hint="eastAsia" w:ascii="宋体" w:hAnsi="宋体" w:cs="宋体"/>
        </w:rPr>
        <w:t>若两家公司可达到采购人对应类型回款率要求，则后续发单规则如下：第一名将占采购人该类型委案60%案件量，第二名将占采购人该类型委案40%案件量。未达标公司暂不分配未达标委外类型业务。</w:t>
      </w:r>
    </w:p>
    <w:p w14:paraId="7A9E9BEB">
      <w:pPr>
        <w:pStyle w:val="7"/>
        <w:ind w:firstLine="480"/>
        <w:rPr>
          <w:rFonts w:hint="eastAsia" w:ascii="宋体" w:hAnsi="宋体" w:cs="宋体"/>
        </w:rPr>
      </w:pPr>
      <w:r>
        <w:rPr>
          <w:rFonts w:hint="eastAsia" w:ascii="宋体" w:hAnsi="宋体" w:cs="宋体"/>
        </w:rPr>
        <w:t>若一家公司可达到采购人对应类型回款率要求，则该委外类型业务量全部分配至该公司。未达标公司暂不分配未达标委外类型业务。</w:t>
      </w:r>
    </w:p>
    <w:p w14:paraId="3526CF12">
      <w:pPr>
        <w:pStyle w:val="7"/>
        <w:numPr>
          <w:ilvl w:val="0"/>
          <w:numId w:val="5"/>
        </w:numPr>
        <w:ind w:firstLine="482"/>
        <w:rPr>
          <w:rFonts w:hint="eastAsia" w:ascii="宋体" w:hAnsi="宋体" w:cs="宋体"/>
          <w:b/>
          <w:bCs/>
        </w:rPr>
      </w:pPr>
      <w:r>
        <w:rPr>
          <w:rFonts w:hint="eastAsia" w:ascii="宋体" w:hAnsi="宋体" w:cs="宋体"/>
          <w:b/>
          <w:bCs/>
        </w:rPr>
        <w:t>暂停与清退机制：</w:t>
      </w:r>
    </w:p>
    <w:p w14:paraId="76AF29BB">
      <w:pPr>
        <w:pStyle w:val="7"/>
        <w:ind w:firstLine="480"/>
        <w:rPr>
          <w:rFonts w:hint="eastAsia" w:ascii="宋体" w:hAnsi="宋体" w:cs="宋体"/>
        </w:rPr>
      </w:pPr>
      <w:r>
        <w:rPr>
          <w:rFonts w:hint="eastAsia" w:ascii="宋体" w:hAnsi="宋体" w:cs="宋体"/>
        </w:rPr>
        <w:t>采购人暂对月供委外与短账龄委外这2种委外类型进行回款率考核。</w:t>
      </w:r>
    </w:p>
    <w:p w14:paraId="5ED39ACC">
      <w:pPr>
        <w:pStyle w:val="7"/>
        <w:ind w:firstLine="480"/>
        <w:rPr>
          <w:rFonts w:hint="eastAsia" w:ascii="宋体" w:hAnsi="宋体" w:cs="宋体"/>
        </w:rPr>
      </w:pPr>
      <w:r>
        <w:rPr>
          <w:rFonts w:hint="eastAsia" w:ascii="宋体" w:hAnsi="宋体" w:cs="宋体"/>
        </w:rPr>
        <w:t>如某公司其中任一委外类型合同期限内出现未达日常管理回款率要求的情况，则采购人有权暂停对该公司该业务类型的委托；若被暂停业务的中标人希望重新承接该委外类型的委案，需向采购人提供新的合作意向书，并提供详细的回款率不符要求的分析及佐证，并需要包含后续将如何调整团队，如何提高回款率的有效举措。采购人将视被暂停业务的公司的整顿情况决定是否同意恢复业务，但恢复业务的首月业务量为当月该类型业务量的20%。若恢复业务后达标，则继续按照排名发单机制进行分案委托。</w:t>
      </w:r>
    </w:p>
    <w:p w14:paraId="3AC729AA">
      <w:pPr>
        <w:pStyle w:val="7"/>
        <w:ind w:firstLine="480"/>
        <w:rPr>
          <w:rFonts w:hint="eastAsia" w:ascii="宋体" w:hAnsi="宋体" w:cs="宋体"/>
        </w:rPr>
      </w:pPr>
      <w:r>
        <w:rPr>
          <w:rFonts w:hint="eastAsia" w:ascii="宋体" w:hAnsi="宋体" w:cs="宋体"/>
        </w:rPr>
        <w:t>若三家公司出现均无法达到采购人回款率要求的情况时，采购人将视被暂停业务的公司的整顿情况，及被暂停次数，来决定后续的委托类型及委托业务量。</w:t>
      </w:r>
    </w:p>
    <w:p w14:paraId="2AF29F9A">
      <w:pPr>
        <w:pStyle w:val="7"/>
        <w:ind w:firstLine="480"/>
        <w:rPr>
          <w:rFonts w:hint="eastAsia" w:ascii="宋体" w:hAnsi="宋体" w:cs="宋体"/>
        </w:rPr>
      </w:pPr>
      <w:r>
        <w:rPr>
          <w:rFonts w:hint="eastAsia" w:ascii="宋体" w:hAnsi="宋体" w:cs="宋体"/>
        </w:rPr>
        <w:t>如某公司此2种委外类型在一个自然年度内共计3次触达终止合同指标，则采购人将终止与该公司的合作关系。如三家公司有2家公司被终止合作关系，则采购人重新开始招标，且被终止合作关系后3年内不可参与采购人委外催收项目的投标。</w:t>
      </w:r>
    </w:p>
    <w:p w14:paraId="408B622F">
      <w:pPr>
        <w:pStyle w:val="7"/>
        <w:ind w:firstLine="482"/>
        <w:rPr>
          <w:rFonts w:hint="eastAsia" w:ascii="宋体" w:hAnsi="宋体" w:cs="宋体"/>
        </w:rPr>
      </w:pPr>
      <w:r>
        <w:rPr>
          <w:rFonts w:hint="eastAsia" w:ascii="宋体" w:hAnsi="宋体" w:cs="宋体"/>
          <w:b/>
          <w:bCs/>
        </w:rPr>
        <w:t>（四）管理要求：</w:t>
      </w:r>
    </w:p>
    <w:p w14:paraId="091D3C9F">
      <w:pPr>
        <w:pStyle w:val="7"/>
        <w:numPr>
          <w:ilvl w:val="0"/>
          <w:numId w:val="6"/>
        </w:numPr>
        <w:ind w:firstLine="480"/>
        <w:rPr>
          <w:rFonts w:hint="eastAsia" w:ascii="宋体" w:hAnsi="宋体" w:cs="宋体"/>
        </w:rPr>
      </w:pPr>
      <w:r>
        <w:rPr>
          <w:rFonts w:hint="eastAsia" w:ascii="宋体" w:hAnsi="宋体" w:cs="宋体"/>
        </w:rPr>
        <w:t>要求组建专门团队对接采购人委外事项，专组催员工资绩效要求与江铃案件回款质量直接挂钩，设立明确的KPI考核体系，以及定期报告机制；</w:t>
      </w:r>
    </w:p>
    <w:p w14:paraId="5D753FBD">
      <w:pPr>
        <w:pStyle w:val="7"/>
        <w:numPr>
          <w:ilvl w:val="0"/>
          <w:numId w:val="6"/>
        </w:numPr>
        <w:ind w:firstLine="480"/>
        <w:rPr>
          <w:rFonts w:hint="eastAsia" w:ascii="宋体" w:hAnsi="宋体" w:cs="宋体"/>
        </w:rPr>
      </w:pPr>
      <w:r>
        <w:rPr>
          <w:rFonts w:hint="eastAsia" w:ascii="宋体" w:hAnsi="宋体" w:cs="宋体"/>
        </w:rPr>
        <w:t>每月专组应根据人行新规及采购人要求开展至少一次培训；</w:t>
      </w:r>
    </w:p>
    <w:p w14:paraId="602AD3AD">
      <w:pPr>
        <w:pStyle w:val="7"/>
        <w:numPr>
          <w:ilvl w:val="0"/>
          <w:numId w:val="6"/>
        </w:numPr>
        <w:ind w:firstLine="480"/>
        <w:rPr>
          <w:rFonts w:hint="eastAsia" w:ascii="宋体" w:hAnsi="宋体" w:cs="宋体"/>
        </w:rPr>
      </w:pPr>
      <w:r>
        <w:rPr>
          <w:rFonts w:hint="eastAsia" w:ascii="宋体" w:hAnsi="宋体" w:cs="宋体"/>
        </w:rPr>
        <w:t>支持采购人每半年度对第三方机构的实地走访工作(如当年已停止合作可不再现场检查)。现场检查内容包括：第三方委外公司的内部管理状况、业务运营情况、业务操作合规性、抽查录音电话样本规范性以及通过启信宝等途径了解到的资产处置类机构变动情况等。如发现问题，需现场做出沟通并要求整改，第三方委外公司在收到采购人整改意见后应三日内反馈整改措施；</w:t>
      </w:r>
    </w:p>
    <w:p w14:paraId="791CBC7B">
      <w:pPr>
        <w:pStyle w:val="7"/>
        <w:numPr>
          <w:ilvl w:val="0"/>
          <w:numId w:val="6"/>
        </w:numPr>
        <w:ind w:firstLine="480"/>
        <w:rPr>
          <w:rFonts w:hint="eastAsia" w:ascii="宋体" w:hAnsi="宋体" w:cs="宋体"/>
        </w:rPr>
      </w:pPr>
      <w:r>
        <w:rPr>
          <w:rFonts w:hint="eastAsia" w:ascii="宋体" w:hAnsi="宋体" w:cs="宋体"/>
        </w:rPr>
        <w:t>要求每月向采购人提交催收记录台账和电话催收录音，采购人质检后如发现存在违法、违规、违反协议的催收情形时，或者第三方委外公司未按要求提交催收台账、电话催收录音时，要求第三方委外公司限期整改，若在限定期限内不配合整改，或者整改不符合要求的暂停或终止新的业务合作；</w:t>
      </w:r>
    </w:p>
    <w:p w14:paraId="79B12623">
      <w:pPr>
        <w:pStyle w:val="7"/>
        <w:numPr>
          <w:ilvl w:val="0"/>
          <w:numId w:val="6"/>
        </w:numPr>
        <w:ind w:firstLine="480"/>
        <w:rPr>
          <w:rFonts w:hint="eastAsia" w:ascii="宋体" w:hAnsi="宋体" w:cs="宋体"/>
        </w:rPr>
      </w:pPr>
      <w:r>
        <w:rPr>
          <w:rFonts w:hint="eastAsia" w:ascii="宋体" w:hAnsi="宋体" w:cs="宋体"/>
        </w:rPr>
        <w:t>费用报支要求根据合作协议约定的支付标准、时间、方式进行费用报支并建立相关台账；</w:t>
      </w:r>
    </w:p>
    <w:p w14:paraId="3F57671C">
      <w:pPr>
        <w:pStyle w:val="7"/>
        <w:numPr>
          <w:ilvl w:val="0"/>
          <w:numId w:val="6"/>
        </w:numPr>
        <w:ind w:firstLine="480"/>
        <w:rPr>
          <w:rFonts w:hint="eastAsia" w:ascii="宋体" w:hAnsi="宋体" w:cs="宋体"/>
        </w:rPr>
      </w:pPr>
      <w:r>
        <w:rPr>
          <w:rFonts w:hint="eastAsia" w:ascii="宋体" w:hAnsi="宋体" w:cs="宋体"/>
        </w:rPr>
        <w:t>收到采购人工作相关邮件后（包括但不限于风险告知函、调取催记录音、催收情况分析等），要求在规定时间内向采购人回复汇报；</w:t>
      </w:r>
    </w:p>
    <w:p w14:paraId="7A86FC00">
      <w:pPr>
        <w:pStyle w:val="7"/>
        <w:numPr>
          <w:ilvl w:val="0"/>
          <w:numId w:val="6"/>
        </w:numPr>
        <w:ind w:firstLine="480"/>
        <w:rPr>
          <w:rFonts w:hint="eastAsia" w:ascii="宋体" w:hAnsi="宋体" w:cs="宋体"/>
        </w:rPr>
      </w:pPr>
      <w:r>
        <w:rPr>
          <w:rFonts w:hint="eastAsia" w:ascii="宋体" w:hAnsi="宋体"/>
        </w:rPr>
        <w:t>具有健全的内部管理制度，包含但不限于合规制度、应急机制及信息保密等制度</w:t>
      </w:r>
      <w:r>
        <w:rPr>
          <w:rFonts w:hint="eastAsia" w:ascii="宋体" w:hAnsi="宋体"/>
          <w:b/>
          <w:bCs/>
        </w:rPr>
        <w:t>（投标文件中提供公司、管理层、员工等未参与涉黑涉恶行为及未因涉黑涉恶事件被司法机关处罚的声明函，格式自拟）</w:t>
      </w:r>
      <w:r>
        <w:rPr>
          <w:rFonts w:hint="eastAsia" w:ascii="宋体" w:hAnsi="宋体"/>
        </w:rPr>
        <w:t>。</w:t>
      </w:r>
    </w:p>
    <w:p w14:paraId="338A9270">
      <w:pPr>
        <w:pStyle w:val="7"/>
        <w:ind w:firstLine="482"/>
        <w:rPr>
          <w:rFonts w:hint="eastAsia" w:ascii="宋体" w:hAnsi="宋体" w:cs="宋体"/>
          <w:b/>
          <w:bCs/>
        </w:rPr>
      </w:pPr>
      <w:r>
        <w:rPr>
          <w:rFonts w:hint="eastAsia" w:ascii="宋体" w:hAnsi="宋体" w:cs="宋体"/>
          <w:b/>
          <w:bCs/>
        </w:rPr>
        <w:t>（六）合规要求：</w:t>
      </w:r>
    </w:p>
    <w:p w14:paraId="603DDDD6">
      <w:pPr>
        <w:pStyle w:val="7"/>
        <w:ind w:firstLine="480"/>
        <w:rPr>
          <w:rFonts w:hint="eastAsia" w:ascii="宋体" w:hAnsi="宋体" w:cs="宋体"/>
        </w:rPr>
      </w:pPr>
      <w:r>
        <w:rPr>
          <w:rFonts w:hint="eastAsia" w:ascii="宋体" w:hAnsi="宋体" w:cs="宋体"/>
        </w:rPr>
        <w:t>1、遵守所有相关的法律法规，包括但不限于消费者权益保护法、个人信息保护法及银行业监管要求；</w:t>
      </w:r>
    </w:p>
    <w:p w14:paraId="10E395AF">
      <w:pPr>
        <w:pStyle w:val="7"/>
        <w:ind w:firstLine="480"/>
        <w:rPr>
          <w:rFonts w:hint="eastAsia" w:ascii="宋体" w:hAnsi="宋体" w:cs="宋体"/>
        </w:rPr>
      </w:pPr>
      <w:r>
        <w:rPr>
          <w:rFonts w:hint="eastAsia" w:ascii="宋体" w:hAnsi="宋体" w:cs="宋体"/>
        </w:rPr>
        <w:t>2、体现人性化催收原则，禁止暴力催收，维护借款人合法权益；</w:t>
      </w:r>
    </w:p>
    <w:p w14:paraId="396BC894">
      <w:pPr>
        <w:ind w:firstLine="480" w:firstLineChars="200"/>
        <w:rPr>
          <w:rFonts w:hint="eastAsia" w:ascii="宋体" w:hAnsi="宋体" w:cs="宋体"/>
        </w:rPr>
      </w:pPr>
      <w:r>
        <w:rPr>
          <w:rFonts w:hint="eastAsia" w:ascii="宋体" w:hAnsi="宋体" w:cs="宋体"/>
        </w:rPr>
        <w:t>3、采购人专组催员需提供无犯罪记录及征信情况，并定期及时更新。</w:t>
      </w:r>
    </w:p>
    <w:p w14:paraId="3CD9F7A2">
      <w:pPr>
        <w:ind w:firstLine="482" w:firstLineChars="200"/>
        <w:rPr>
          <w:rFonts w:hint="eastAsia" w:ascii="宋体" w:hAnsi="宋体" w:cs="宋体"/>
          <w:b/>
          <w:bCs/>
        </w:rPr>
      </w:pPr>
      <w:r>
        <w:rPr>
          <w:rFonts w:hint="eastAsia" w:ascii="宋体" w:hAnsi="宋体" w:cs="宋体"/>
          <w:b/>
          <w:bCs/>
        </w:rPr>
        <w:t>（七）服务要求：</w:t>
      </w:r>
    </w:p>
    <w:p w14:paraId="4EF6F84D">
      <w:pPr>
        <w:ind w:firstLine="480" w:firstLineChars="200"/>
        <w:rPr>
          <w:rFonts w:hint="eastAsia" w:ascii="宋体" w:hAnsi="宋体"/>
          <w:b/>
          <w:bCs/>
        </w:rPr>
      </w:pPr>
      <w:r>
        <w:rPr>
          <w:rFonts w:hint="eastAsia" w:ascii="宋体" w:hAnsi="宋体" w:cs="宋体"/>
        </w:rPr>
        <w:t>1、投标人须针对本项目提供完整的汽车金融场景专催方案</w:t>
      </w:r>
      <w:r>
        <w:rPr>
          <w:rFonts w:hint="eastAsia" w:ascii="宋体" w:hAnsi="宋体"/>
          <w:b/>
          <w:bCs/>
        </w:rPr>
        <w:t>（投标文件中提供催收作业流程图，对每个环节的执行流程方式方法进行描述，提供承接采购人业务的方案，包括是否专案催收、人员配置、培训等）；</w:t>
      </w:r>
    </w:p>
    <w:p w14:paraId="4D1644DC">
      <w:pPr>
        <w:ind w:firstLine="480" w:firstLineChars="200"/>
        <w:rPr>
          <w:rFonts w:ascii="宋体" w:hAnsi="宋体"/>
        </w:rPr>
      </w:pPr>
      <w:r>
        <w:rPr>
          <w:rFonts w:hint="eastAsia" w:ascii="宋体" w:hAnsi="宋体"/>
        </w:rPr>
        <w:t>2、</w:t>
      </w:r>
      <w:r>
        <w:rPr>
          <w:rFonts w:hint="eastAsia" w:ascii="宋体" w:hAnsi="宋体" w:cs="宋体"/>
        </w:rPr>
        <w:t>投标人须针对本项目提供保密工作方案</w:t>
      </w:r>
      <w:r>
        <w:rPr>
          <w:rFonts w:hint="eastAsia" w:ascii="宋体" w:hAnsi="宋体" w:cs="宋体"/>
          <w:b/>
          <w:bCs/>
        </w:rPr>
        <w:t>（保密工作包含：执行项目过程中接触到的招标人企业核心信息、商业秘密以及招标人提供的客户信息等）；</w:t>
      </w:r>
    </w:p>
    <w:p w14:paraId="0ED45EA7">
      <w:pPr>
        <w:ind w:firstLine="480" w:firstLineChars="200"/>
      </w:pPr>
      <w:r>
        <w:rPr>
          <w:rFonts w:hint="eastAsia" w:ascii="宋体" w:hAnsi="宋体"/>
        </w:rPr>
        <w:t>3、投标人能为本项目提供成熟的催收管理系统，必须具备本地部署、记录本地保存3年及以上、多种通讯终端集成、较高信息保护能力及能够迭代升级的催收系统</w:t>
      </w:r>
      <w:r>
        <w:rPr>
          <w:rFonts w:hint="eastAsia" w:ascii="宋体" w:hAnsi="宋体"/>
          <w:b/>
          <w:bCs/>
        </w:rPr>
        <w:t>（投标文件中提供承诺函）。</w:t>
      </w:r>
    </w:p>
    <w:p w14:paraId="6C76A202">
      <w:pPr>
        <w:rPr>
          <w:rFonts w:hint="eastAsia" w:ascii="宋体" w:hAnsi="宋体" w:cs="宋体"/>
          <w:b/>
          <w:bCs/>
          <w:spacing w:val="2"/>
          <w:kern w:val="0"/>
        </w:rPr>
      </w:pPr>
    </w:p>
    <w:p w14:paraId="77EE3C4C">
      <w:r>
        <w:rPr>
          <w:rFonts w:hint="eastAsia" w:ascii="宋体" w:hAnsi="宋体" w:cs="宋体"/>
          <w:b/>
          <w:bCs/>
          <w:spacing w:val="2"/>
          <w:kern w:val="0"/>
        </w:rPr>
        <w:t>注：以上“技术要求”为实质性条款须完全响应，否则投标无效。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121F7"/>
    <w:multiLevelType w:val="singleLevel"/>
    <w:tmpl w:val="80F121F7"/>
    <w:lvl w:ilvl="0" w:tentative="0">
      <w:start w:val="2"/>
      <w:numFmt w:val="decimal"/>
      <w:suff w:val="nothing"/>
      <w:lvlText w:val="（%1）"/>
      <w:lvlJc w:val="left"/>
    </w:lvl>
  </w:abstractNum>
  <w:abstractNum w:abstractNumId="1">
    <w:nsid w:val="F5F75364"/>
    <w:multiLevelType w:val="singleLevel"/>
    <w:tmpl w:val="F5F75364"/>
    <w:lvl w:ilvl="0" w:tentative="0">
      <w:start w:val="2"/>
      <w:numFmt w:val="decimal"/>
      <w:suff w:val="nothing"/>
      <w:lvlText w:val="（%1）"/>
      <w:lvlJc w:val="left"/>
    </w:lvl>
  </w:abstractNum>
  <w:abstractNum w:abstractNumId="2">
    <w:nsid w:val="0000000F"/>
    <w:multiLevelType w:val="multilevel"/>
    <w:tmpl w:val="0000000F"/>
    <w:lvl w:ilvl="0" w:tentative="0">
      <w:start w:val="1"/>
      <w:numFmt w:val="decimal"/>
      <w:lvlText w:val="%1"/>
      <w:lvlJc w:val="left"/>
      <w:pPr>
        <w:tabs>
          <w:tab w:val="left" w:pos="432"/>
        </w:tabs>
        <w:ind w:left="432" w:hanging="432"/>
      </w:pPr>
      <w:rPr>
        <w:rFonts w:hint="eastAsia"/>
      </w:rPr>
    </w:lvl>
    <w:lvl w:ilvl="1" w:tentative="0">
      <w:start w:val="1"/>
      <w:numFmt w:val="decimal"/>
      <w:pStyle w:val="4"/>
      <w:suff w:val="space"/>
      <w:lvlText w:val="第%2章 "/>
      <w:lvlJc w:val="right"/>
      <w:pPr>
        <w:ind w:left="576" w:hanging="576"/>
      </w:pPr>
      <w:rPr>
        <w:rFonts w:hint="default" w:cs="Times New Roman"/>
        <w:bCs w:val="0"/>
        <w:i w:val="0"/>
        <w:iCs w:val="0"/>
        <w:caps w:val="0"/>
        <w:smallCaps w:val="0"/>
        <w:vanish w:val="0"/>
        <w:spacing w:val="0"/>
        <w:kern w:val="0"/>
        <w:position w:val="0"/>
        <w:sz w:val="28"/>
        <w:u w:val="none"/>
        <w:vertAlign w:val="baseline"/>
      </w:rPr>
    </w:lvl>
    <w:lvl w:ilvl="2" w:tentative="0">
      <w:start w:val="1"/>
      <w:numFmt w:val="decimal"/>
      <w:lvlText w:val="2.%3"/>
      <w:lvlJc w:val="left"/>
      <w:pPr>
        <w:tabs>
          <w:tab w:val="left" w:pos="1080"/>
        </w:tabs>
        <w:ind w:left="1080" w:hanging="720"/>
      </w:pPr>
      <w:rPr>
        <w:rFonts w:hint="eastAsia"/>
      </w:rPr>
    </w:lvl>
    <w:lvl w:ilvl="3" w:tentative="0">
      <w:start w:val="1"/>
      <w:numFmt w:val="decimal"/>
      <w:lvlText w:val="2.%4"/>
      <w:lvlJc w:val="left"/>
      <w:pPr>
        <w:tabs>
          <w:tab w:val="left" w:pos="1330"/>
        </w:tabs>
        <w:ind w:left="1330" w:hanging="864"/>
      </w:pPr>
      <w:rPr>
        <w:rFonts w:hint="eastAsia"/>
      </w:rPr>
    </w:lvl>
    <w:lvl w:ilvl="4" w:tentative="0">
      <w:start w:val="1"/>
      <w:numFmt w:val="decimal"/>
      <w:lvlText w:val="%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17977F89"/>
    <w:multiLevelType w:val="singleLevel"/>
    <w:tmpl w:val="17977F89"/>
    <w:lvl w:ilvl="0" w:tentative="0">
      <w:start w:val="1"/>
      <w:numFmt w:val="decimal"/>
      <w:suff w:val="nothing"/>
      <w:lvlText w:val="%1、"/>
      <w:lvlJc w:val="left"/>
    </w:lvl>
  </w:abstractNum>
  <w:abstractNum w:abstractNumId="4">
    <w:nsid w:val="2F7E4FBC"/>
    <w:multiLevelType w:val="singleLevel"/>
    <w:tmpl w:val="2F7E4FBC"/>
    <w:lvl w:ilvl="0" w:tentative="0">
      <w:start w:val="1"/>
      <w:numFmt w:val="chineseCounting"/>
      <w:suff w:val="nothing"/>
      <w:lvlText w:val="（%1）"/>
      <w:lvlJc w:val="left"/>
      <w:rPr>
        <w:rFonts w:hint="eastAsia"/>
      </w:rPr>
    </w:lvl>
  </w:abstractNum>
  <w:abstractNum w:abstractNumId="5">
    <w:nsid w:val="35C1F1E0"/>
    <w:multiLevelType w:val="singleLevel"/>
    <w:tmpl w:val="35C1F1E0"/>
    <w:lvl w:ilvl="0" w:tentative="0">
      <w:start w:val="3"/>
      <w:numFmt w:val="chineseCounting"/>
      <w:suff w:val="nothing"/>
      <w:lvlText w:val="（%1）"/>
      <w:lvlJc w:val="left"/>
      <w:rPr>
        <w:rFonts w:hint="eastAsia"/>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46C20556"/>
    <w:rsid w:val="46C20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pPr>
    <w:rPr>
      <w:rFonts w:ascii="Times New Roman" w:hAnsi="Times New Roman" w:eastAsia="宋体" w:cs="Times New Roman"/>
      <w:kern w:val="2"/>
      <w:sz w:val="24"/>
      <w:szCs w:val="24"/>
      <w:lang w:val="en-US" w:eastAsia="zh-CN" w:bidi="ar-SA"/>
    </w:rPr>
  </w:style>
  <w:style w:type="paragraph" w:styleId="4">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 w:val="32"/>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kern w:val="0"/>
      <w:sz w:val="20"/>
      <w:szCs w:val="21"/>
    </w:rPr>
  </w:style>
  <w:style w:type="paragraph" w:customStyle="1" w:styleId="3">
    <w:name w:val="_正文"/>
    <w:basedOn w:val="1"/>
    <w:qFormat/>
    <w:uiPriority w:val="0"/>
    <w:pPr>
      <w:adjustRightInd w:val="0"/>
      <w:snapToGrid w:val="0"/>
      <w:ind w:firstLine="200" w:firstLineChars="200"/>
    </w:pPr>
    <w:rPr>
      <w:rFonts w:ascii="Times New Roman" w:hAnsi="Times New Roman" w:cs="Times New Roman"/>
    </w:rPr>
  </w:style>
  <w:style w:type="paragraph" w:styleId="7">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2024-07-20T13:36:00Z</dcterms:created>
  <dc:creator>包泽宁</dc:creator>
  <cp:lastModifiedBy>包泽宁</cp:lastModifiedBy>
  <dcterms:modified xsi:type="dcterms:W3CDTF">2024-07-20T13:36:38Z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F12A865A682942CB89C9C4D8A9C08A5E_11</vt:lpwstr>
  </property>
</Properties>
</file>