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C20D">
      <w:pPr>
        <w:pStyle w:val="3"/>
        <w:spacing w:before="0" w:after="0"/>
        <w:rPr>
          <w:rFonts w:hint="eastAsia" w:ascii="宋体" w:hAnsi="宋体"/>
          <w:color w:val="000000"/>
          <w:sz w:val="28"/>
          <w:szCs w:val="28"/>
          <w:highlight w:val="none"/>
        </w:rPr>
      </w:pPr>
      <w:bookmarkStart w:id="0" w:name="_Toc16594"/>
      <w:r>
        <w:rPr>
          <w:rFonts w:hint="eastAsia" w:ascii="宋体" w:hAnsi="宋体"/>
          <w:color w:val="000000"/>
          <w:sz w:val="28"/>
          <w:szCs w:val="28"/>
          <w:highlight w:val="none"/>
        </w:rPr>
        <w:t>一、技术要求</w:t>
      </w:r>
      <w:bookmarkEnd w:id="0"/>
    </w:p>
    <w:p w14:paraId="1A38751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bookmarkStart w:id="1" w:name="_Hlk99207603"/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编制依据：</w:t>
      </w:r>
    </w:p>
    <w:p w14:paraId="1A44A3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、清单采用工程量清单项目计量规范（2013-江西），2017《江西省房屋建筑与装饰工程消耗量定额及统一基价表》、2017《江西省通用安装工程消耗量定额及统一基价表》、根据江西省建设厅赣建价[2020]5号文规定，定额综合工日及机械人工单价调整为100元/工日，装饰装修人工工日单价调整为117元/工日。</w:t>
      </w:r>
    </w:p>
    <w:p w14:paraId="6FE722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2、材料单价（含税）:江西省造价信息2024年第5期（南昌篇）材料信息价及专业测定价，未有按江西省信息价及最新市场价价格执行。</w:t>
      </w:r>
    </w:p>
    <w:p w14:paraId="0E70E63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3、税金：依据赣建价〔2019〕1号文，增值税执行《江西省建筑业营改增后现行建设工程计价规则和依据调整办法》（试行）规定的9%费率进行计取。</w:t>
      </w:r>
    </w:p>
    <w:bookmarkEnd w:id="1"/>
    <w:p w14:paraId="28E6F6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（二）工程量清单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：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474"/>
        <w:gridCol w:w="1110"/>
        <w:gridCol w:w="1363"/>
        <w:gridCol w:w="474"/>
        <w:gridCol w:w="704"/>
        <w:gridCol w:w="837"/>
        <w:gridCol w:w="958"/>
        <w:gridCol w:w="1024"/>
      </w:tblGrid>
      <w:tr w14:paraId="201E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0E908E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分部分项工程和单价措施项目清单与计价表</w:t>
            </w:r>
          </w:p>
        </w:tc>
      </w:tr>
      <w:tr w14:paraId="14A8B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716C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序号</w:t>
            </w:r>
          </w:p>
        </w:tc>
        <w:tc>
          <w:tcPr>
            <w:tcW w:w="864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8DBF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项目编码</w:t>
            </w:r>
          </w:p>
        </w:tc>
        <w:tc>
          <w:tcPr>
            <w:tcW w:w="65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8F14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项目名称</w:t>
            </w:r>
          </w:p>
        </w:tc>
        <w:tc>
          <w:tcPr>
            <w:tcW w:w="79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4067A7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项目特征描述</w:t>
            </w:r>
          </w:p>
        </w:tc>
        <w:tc>
          <w:tcPr>
            <w:tcW w:w="278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AAD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计量单位</w:t>
            </w:r>
          </w:p>
        </w:tc>
        <w:tc>
          <w:tcPr>
            <w:tcW w:w="413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D088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工程量</w:t>
            </w:r>
          </w:p>
        </w:tc>
        <w:tc>
          <w:tcPr>
            <w:tcW w:w="1653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6C04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金额（元）</w:t>
            </w:r>
          </w:p>
        </w:tc>
      </w:tr>
      <w:tr w14:paraId="45C15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3EEE4A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64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91879A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5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DA8980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79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A10B3C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DF00A02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3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74376B9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B2A94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综合单价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F614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综合合价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86E5D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其中：暂估价</w:t>
            </w:r>
          </w:p>
        </w:tc>
      </w:tr>
      <w:tr w14:paraId="5FA90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2D69012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AD33C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B3D2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整个项目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A7B3ED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B0C3E7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2BEFC2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5DA2024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E6EDC6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BA4BCAD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570AA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EEA4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98DA5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011406001001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E02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抹灰面油漆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746D64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刷乳胶漆不少于2遍；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2.包含约1/10总工程量面积的补瓷工序；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3.成品保护；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4.垃圾清运；</w:t>
            </w:r>
          </w:p>
          <w:p w14:paraId="77ADB3A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 w:bidi="ar"/>
              </w:rPr>
              <w:t>5.所投的乳胶漆须符合国家标准。（参考品牌：立邦、三棵树、多乐士、嘉宝莉）</w:t>
            </w:r>
            <w:bookmarkStart w:id="2" w:name="_GoBack"/>
            <w:bookmarkEnd w:id="2"/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07804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m2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60EAFA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47680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F8156B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F1B841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8BBDB52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16C64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92379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920FB6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87E7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分部分项合计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155045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251420C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FCDBE3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9826B6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2630CE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58D736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4DEFA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45FA48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10E5E7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9896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措施项目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CDBBE85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C15E3C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7EF9F5F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AF5AEF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A3A5ABE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88F5529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7C825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36965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6574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011703001001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4067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垂直运输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C546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bidi="ar"/>
              </w:rPr>
              <w:t>檐高(m以内) 20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D336C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 w:bidi="ar"/>
              </w:rPr>
              <w:t>项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4C6364"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96EB25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1EE74CC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4B794DC8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  <w:tr w14:paraId="51C8B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8D0426">
            <w:pPr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3E205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3275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单价措施合计</w:t>
            </w:r>
          </w:p>
        </w:tc>
        <w:tc>
          <w:tcPr>
            <w:tcW w:w="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B03309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06DC35">
            <w:pPr>
              <w:jc w:val="lef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C5247B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E226CC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2A320D"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5736E0D0">
            <w:pPr>
              <w:jc w:val="right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02767CD5">
      <w:pPr>
        <w:spacing w:line="460" w:lineRule="exact"/>
        <w:rPr>
          <w:rFonts w:hint="eastAsia" w:ascii="宋体" w:hAnsi="宋体" w:cs="宋体"/>
          <w:b/>
          <w:bCs/>
          <w:color w:val="000000"/>
          <w:spacing w:val="2"/>
          <w:kern w:val="0"/>
          <w:sz w:val="24"/>
          <w:highlight w:val="none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120"/>
        <w:gridCol w:w="1490"/>
        <w:gridCol w:w="1471"/>
        <w:gridCol w:w="532"/>
        <w:gridCol w:w="997"/>
        <w:gridCol w:w="614"/>
        <w:gridCol w:w="815"/>
        <w:gridCol w:w="966"/>
      </w:tblGrid>
      <w:tr w14:paraId="354B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77E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总价措施项目清单与计价表</w:t>
            </w:r>
          </w:p>
        </w:tc>
      </w:tr>
      <w:tr w14:paraId="69F2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9588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5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A7B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7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7C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6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6939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31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0C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(%)</w:t>
            </w:r>
          </w:p>
        </w:tc>
        <w:tc>
          <w:tcPr>
            <w:tcW w:w="58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953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(元)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45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(%)</w:t>
            </w:r>
          </w:p>
        </w:tc>
        <w:tc>
          <w:tcPr>
            <w:tcW w:w="47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3A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7F13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95F7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DB3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F6C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43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安全文明施工措施费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FAB2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F31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34A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3124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1D8A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07044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6F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52A0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9B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5C2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安全文明环保费(环境保护、文明施工、安全施工费)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169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7A2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041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89E3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0628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96A2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91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A73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161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44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临时设施费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C46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B30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CC5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B932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5B7E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A244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59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0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F76C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98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D7DF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其他总价措施费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A786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5A9D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E091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F4A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4CB4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79A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C512210">
      <w:pPr>
        <w:spacing w:line="460" w:lineRule="exact"/>
        <w:rPr>
          <w:rFonts w:hint="eastAsia" w:ascii="宋体" w:hAnsi="宋体" w:cs="宋体"/>
          <w:b/>
          <w:bCs/>
          <w:color w:val="000000"/>
          <w:spacing w:val="2"/>
          <w:kern w:val="0"/>
          <w:sz w:val="24"/>
          <w:highlight w:val="none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280"/>
        <w:gridCol w:w="2011"/>
        <w:gridCol w:w="1261"/>
        <w:gridCol w:w="1043"/>
        <w:gridCol w:w="1240"/>
      </w:tblGrid>
      <w:tr w14:paraId="6714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 w14:paraId="4933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规费、税金项目清单与计价表</w:t>
            </w:r>
          </w:p>
        </w:tc>
      </w:tr>
      <w:tr w14:paraId="06B1A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F05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A1C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75C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74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49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计算基数</w:t>
            </w:r>
          </w:p>
        </w:tc>
        <w:tc>
          <w:tcPr>
            <w:tcW w:w="61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4A8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计算费率(%)</w:t>
            </w:r>
          </w:p>
        </w:tc>
        <w:tc>
          <w:tcPr>
            <w:tcW w:w="72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165D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金额(元)</w:t>
            </w:r>
          </w:p>
        </w:tc>
      </w:tr>
      <w:tr w14:paraId="587B4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0FA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FAD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57D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2EA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27CB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0187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4B1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F1C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CA8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4B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8610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0017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2E3CCE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B4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AE9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D22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D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43A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C868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60C147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D8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940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36B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工程排污费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07B6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定额人工费+定额机械费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4448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160D6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30CBAA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57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3C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1A1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8E2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分部分项+措施项目+其他项目+规费</w:t>
            </w:r>
          </w:p>
        </w:tc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B20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6E57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 w14:paraId="72558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2C97CF8">
      <w:r>
        <w:rPr>
          <w:rFonts w:hint="eastAsia" w:ascii="宋体" w:hAnsi="宋体"/>
          <w:b/>
          <w:sz w:val="24"/>
          <w:highlight w:val="none"/>
        </w:rPr>
        <w:t>注：以上“技术要求”为实质性要求，必须完全满足，否则响应无效。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963C3"/>
    <w:multiLevelType w:val="singleLevel"/>
    <w:tmpl w:val="2A3963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zllMTNlMTY5ODE5MTk3NTQ0NDg0ZDE5MjdiMmYifQ=="/>
  </w:docVars>
  <w:rsids>
    <w:rsidRoot w:val="7E000658"/>
    <w:rsid w:val="16DA1C8E"/>
    <w:rsid w:val="7E00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/>
      <w:kern w:val="0"/>
    </w:rPr>
  </w:style>
  <w:style w:type="paragraph" w:styleId="4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685</Words>
  <Characters>764</Characters>
  <Lines>0</Lines>
  <Paragraphs>0</Paragraphs>
  <TotalTime>0</TotalTime>
  <ScaleCrop>false</ScaleCrop>
  <LinksUpToDate>false</LinksUpToDate>
  <CharactersWithSpaces>765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2024-07-18T12:41:00Z</dcterms:created>
  <dc:creator>包泽宁</dc:creator>
  <cp:lastModifiedBy>包泽宁</cp:lastModifiedBy>
  <dcterms:modified xsi:type="dcterms:W3CDTF">2024-07-18T13:46:50Z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677B1EC1215C429AAF99D8AD94115D79_11</vt:lpwstr>
  </property>
</Properties>
</file>