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554C">
      <w:pPr>
        <w:pStyle w:val="4"/>
        <w:spacing w:before="0" w:after="0"/>
        <w:rPr>
          <w:rFonts w:hint="eastAsia" w:ascii="宋体" w:hAnsi="宋体"/>
          <w:color w:val="000000"/>
          <w:sz w:val="28"/>
          <w:szCs w:val="28"/>
        </w:rPr>
      </w:pPr>
      <w:bookmarkStart w:id="0" w:name="_Toc16148"/>
      <w:r>
        <w:rPr>
          <w:rFonts w:hint="eastAsia" w:ascii="宋体" w:hAnsi="宋体"/>
          <w:color w:val="000000"/>
          <w:sz w:val="28"/>
          <w:szCs w:val="28"/>
        </w:rPr>
        <w:t>一、技术要求</w:t>
      </w:r>
      <w:bookmarkEnd w:id="0"/>
    </w:p>
    <w:p w14:paraId="55A7FDFD">
      <w:pPr>
        <w:pStyle w:val="3"/>
        <w:spacing w:before="0" w:after="0" w:line="460" w:lineRule="exact"/>
        <w:rPr>
          <w:rFonts w:hint="eastAsia" w:ascii="宋体" w:hAnsi="宋体" w:cs="宋体"/>
          <w:sz w:val="24"/>
          <w:szCs w:val="24"/>
        </w:rPr>
      </w:pPr>
      <w:r>
        <w:rPr>
          <w:rFonts w:hint="eastAsia" w:ascii="宋体" w:hAnsi="宋体" w:cs="宋体"/>
          <w:sz w:val="24"/>
          <w:szCs w:val="24"/>
        </w:rPr>
        <w:t>（一）项目依据及重要性</w:t>
      </w:r>
    </w:p>
    <w:p w14:paraId="4AEF5EFA">
      <w:pPr>
        <w:spacing w:line="460" w:lineRule="exact"/>
        <w:ind w:firstLine="480" w:firstLineChars="200"/>
        <w:rPr>
          <w:rFonts w:hint="eastAsia" w:ascii="宋体" w:hAnsi="宋体" w:cs="宋体"/>
          <w:sz w:val="24"/>
          <w:szCs w:val="24"/>
        </w:rPr>
      </w:pPr>
      <w:r>
        <w:rPr>
          <w:rFonts w:hint="eastAsia" w:ascii="宋体" w:hAnsi="宋体" w:cs="宋体"/>
          <w:sz w:val="24"/>
          <w:szCs w:val="24"/>
        </w:rPr>
        <w:t>《中华人民共和国网络安全法》已由中华人民共和国第十二届全国人民代表大会常务委员会第二十四次会议于2016 年11 月7 日通过，于2017年6月1日正式实施了，第二十一条国家实行网络安全等级保护制度。网络运营者应当按照网络安全等级保护制度的要求，履行下列安全保护义务，保障网络免受干扰、破坏或者未经授权的访问，防止网络数据泄露或者被窃取、篡改。</w:t>
      </w:r>
    </w:p>
    <w:p w14:paraId="7414D0D0">
      <w:pPr>
        <w:spacing w:line="460" w:lineRule="exact"/>
        <w:ind w:firstLine="480" w:firstLineChars="200"/>
        <w:rPr>
          <w:rFonts w:hint="eastAsia" w:ascii="宋体" w:hAnsi="宋体" w:cs="宋体"/>
          <w:sz w:val="24"/>
          <w:szCs w:val="24"/>
        </w:rPr>
      </w:pPr>
      <w:r>
        <w:rPr>
          <w:rFonts w:hint="eastAsia" w:ascii="宋体" w:hAnsi="宋体" w:cs="宋体"/>
          <w:sz w:val="24"/>
          <w:szCs w:val="24"/>
        </w:rPr>
        <w:t>网络运营者应当按照网络安全等级保护制度的要求，履行安全保护义务”。对拒不履行网络安全保护义务的，由有关主管部门责令改正，给予警告;拒不改正或者导致危害网络安全等后果的，处一万元以上十万元以下罚款，对直接负责的主管人员处五千元以上五万元以下罚款。</w:t>
      </w:r>
    </w:p>
    <w:p w14:paraId="563108F6">
      <w:pPr>
        <w:pStyle w:val="3"/>
        <w:spacing w:before="0" w:after="0" w:line="460" w:lineRule="exact"/>
        <w:rPr>
          <w:rFonts w:hint="eastAsia" w:ascii="宋体" w:hAnsi="宋体" w:cs="宋体"/>
          <w:sz w:val="24"/>
          <w:szCs w:val="24"/>
        </w:rPr>
      </w:pPr>
      <w:r>
        <w:rPr>
          <w:rFonts w:hint="eastAsia" w:ascii="宋体" w:hAnsi="宋体" w:cs="宋体"/>
          <w:sz w:val="24"/>
          <w:szCs w:val="24"/>
        </w:rPr>
        <w:t>（二）实施内容</w:t>
      </w:r>
    </w:p>
    <w:p w14:paraId="747AC423">
      <w:pPr>
        <w:pStyle w:val="3"/>
        <w:spacing w:before="0" w:after="0" w:line="46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1、技术依据：</w:t>
      </w:r>
    </w:p>
    <w:p w14:paraId="079C6572">
      <w:pPr>
        <w:spacing w:line="460" w:lineRule="exact"/>
        <w:ind w:firstLine="480" w:firstLineChars="200"/>
        <w:rPr>
          <w:rFonts w:hint="eastAsia" w:ascii="宋体" w:hAnsi="宋体" w:cs="宋体"/>
          <w:sz w:val="24"/>
          <w:szCs w:val="24"/>
        </w:rPr>
      </w:pPr>
      <w:r>
        <w:rPr>
          <w:rFonts w:hint="eastAsia" w:ascii="宋体" w:hAnsi="宋体" w:cs="宋体"/>
          <w:sz w:val="24"/>
          <w:szCs w:val="24"/>
        </w:rPr>
        <w:t>《关于加强省级重要信息系统安全保障工作的通知》（赣公字[2015]55号）</w:t>
      </w:r>
    </w:p>
    <w:p w14:paraId="6EA4A6B4">
      <w:pPr>
        <w:spacing w:line="460" w:lineRule="exact"/>
        <w:ind w:firstLine="480" w:firstLineChars="200"/>
        <w:rPr>
          <w:rFonts w:hint="eastAsia" w:ascii="宋体" w:hAnsi="宋体" w:cs="宋体"/>
          <w:sz w:val="24"/>
          <w:szCs w:val="24"/>
        </w:rPr>
      </w:pPr>
      <w:r>
        <w:rPr>
          <w:rFonts w:hint="eastAsia" w:ascii="宋体" w:hAnsi="宋体" w:cs="宋体"/>
          <w:sz w:val="24"/>
          <w:szCs w:val="24"/>
        </w:rPr>
        <w:t>关于转发《国家信息化领导小组关于加强信息安全保障工作的意见》的通知（中办[2003]27号文件）</w:t>
      </w:r>
    </w:p>
    <w:p w14:paraId="0FC4AC82">
      <w:pPr>
        <w:spacing w:line="460" w:lineRule="exact"/>
        <w:ind w:firstLine="480" w:firstLineChars="200"/>
        <w:rPr>
          <w:rFonts w:hint="eastAsia" w:ascii="宋体" w:hAnsi="宋体" w:cs="宋体"/>
          <w:sz w:val="24"/>
          <w:szCs w:val="24"/>
        </w:rPr>
      </w:pPr>
      <w:r>
        <w:rPr>
          <w:rFonts w:hint="eastAsia" w:ascii="宋体" w:hAnsi="宋体" w:cs="宋体"/>
          <w:sz w:val="24"/>
          <w:szCs w:val="24"/>
        </w:rPr>
        <w:t>关于印发《信息安全等级保护工作的实施意见》的通知（公通字[2004]66号文件）</w:t>
      </w:r>
    </w:p>
    <w:p w14:paraId="78EBAFBD">
      <w:pPr>
        <w:spacing w:line="460" w:lineRule="exact"/>
        <w:ind w:firstLine="480" w:firstLineChars="200"/>
        <w:rPr>
          <w:rFonts w:hint="eastAsia" w:ascii="宋体" w:hAnsi="宋体" w:cs="宋体"/>
          <w:sz w:val="24"/>
          <w:szCs w:val="24"/>
        </w:rPr>
      </w:pPr>
      <w:r>
        <w:rPr>
          <w:rFonts w:hint="eastAsia" w:ascii="宋体" w:hAnsi="宋体" w:cs="宋体"/>
          <w:sz w:val="24"/>
          <w:szCs w:val="24"/>
        </w:rPr>
        <w:t>关于印发《信息安全等级保护管理办法》的通知（公通字[2007]43号文件）</w:t>
      </w:r>
    </w:p>
    <w:p w14:paraId="31A838AC">
      <w:pPr>
        <w:spacing w:line="460" w:lineRule="exact"/>
        <w:ind w:firstLine="480" w:firstLineChars="200"/>
        <w:rPr>
          <w:rFonts w:hint="eastAsia" w:ascii="宋体" w:hAnsi="宋体" w:cs="宋体"/>
          <w:sz w:val="24"/>
          <w:szCs w:val="24"/>
        </w:rPr>
      </w:pPr>
      <w:r>
        <w:rPr>
          <w:rFonts w:hint="eastAsia" w:ascii="宋体" w:hAnsi="宋体" w:cs="宋体"/>
          <w:sz w:val="24"/>
          <w:szCs w:val="24"/>
        </w:rPr>
        <w:t>关于印发《关于开展全国重要信息系统安全等级保护定级工作》的通知（公信安[2007]861号文件）</w:t>
      </w:r>
    </w:p>
    <w:p w14:paraId="44DEBAD9">
      <w:pPr>
        <w:spacing w:line="460" w:lineRule="exact"/>
        <w:ind w:left="479" w:leftChars="228"/>
        <w:rPr>
          <w:rFonts w:hint="eastAsia" w:ascii="宋体" w:hAnsi="宋体" w:cs="宋体"/>
          <w:sz w:val="24"/>
          <w:szCs w:val="24"/>
        </w:rPr>
      </w:pPr>
      <w:r>
        <w:rPr>
          <w:rFonts w:hint="eastAsia" w:ascii="宋体" w:hAnsi="宋体" w:cs="宋体"/>
          <w:sz w:val="24"/>
          <w:szCs w:val="24"/>
        </w:rPr>
        <w:t>《计算机信息系统安全保护等级划分准则》（GB 17859-1999）</w:t>
      </w:r>
    </w:p>
    <w:p w14:paraId="19CF4EBC">
      <w:pPr>
        <w:spacing w:line="460" w:lineRule="exact"/>
        <w:ind w:left="479" w:leftChars="228"/>
        <w:rPr>
          <w:rFonts w:hint="eastAsia" w:ascii="宋体" w:hAnsi="宋体" w:cs="宋体"/>
          <w:sz w:val="24"/>
          <w:szCs w:val="24"/>
        </w:rPr>
      </w:pPr>
      <w:r>
        <w:rPr>
          <w:rFonts w:hint="eastAsia" w:ascii="宋体" w:hAnsi="宋体" w:cs="宋体"/>
          <w:sz w:val="24"/>
          <w:szCs w:val="24"/>
        </w:rPr>
        <w:t>《中华人民共和国网络安全法》(主席令53号)</w:t>
      </w:r>
      <w:r>
        <w:rPr>
          <w:rFonts w:hint="eastAsia" w:ascii="宋体" w:hAnsi="宋体" w:cs="宋体"/>
          <w:sz w:val="24"/>
          <w:szCs w:val="24"/>
        </w:rPr>
        <w:br w:type="textWrapping"/>
      </w:r>
      <w:r>
        <w:rPr>
          <w:rFonts w:hint="eastAsia" w:ascii="宋体" w:hAnsi="宋体" w:cs="宋体"/>
          <w:sz w:val="24"/>
          <w:szCs w:val="24"/>
        </w:rPr>
        <w:t>《中华人民共和国计算机信息系统安全保护条例》(国务院147号令)</w:t>
      </w:r>
      <w:r>
        <w:rPr>
          <w:rFonts w:hint="eastAsia" w:ascii="宋体" w:hAnsi="宋体" w:cs="宋体"/>
          <w:sz w:val="24"/>
          <w:szCs w:val="24"/>
        </w:rPr>
        <w:br w:type="textWrapping"/>
      </w:r>
      <w:r>
        <w:rPr>
          <w:rFonts w:hint="eastAsia" w:ascii="宋体" w:hAnsi="宋体" w:cs="宋体"/>
          <w:sz w:val="24"/>
          <w:szCs w:val="24"/>
        </w:rPr>
        <w:t>《计算机信息系统安全保护等级划分准则》（GB/T17859-1999）</w:t>
      </w:r>
      <w:r>
        <w:rPr>
          <w:rFonts w:hint="eastAsia" w:ascii="宋体" w:hAnsi="宋体" w:cs="宋体"/>
          <w:sz w:val="24"/>
          <w:szCs w:val="24"/>
        </w:rPr>
        <w:br w:type="textWrapping"/>
      </w:r>
      <w:r>
        <w:rPr>
          <w:rFonts w:hint="eastAsia" w:ascii="宋体" w:hAnsi="宋体" w:cs="宋体"/>
          <w:sz w:val="24"/>
          <w:szCs w:val="24"/>
        </w:rPr>
        <w:t>《网络安全等级保护实施指南》（GB/T25058-2019）</w:t>
      </w:r>
      <w:r>
        <w:rPr>
          <w:rFonts w:hint="eastAsia" w:ascii="宋体" w:hAnsi="宋体" w:cs="宋体"/>
          <w:sz w:val="24"/>
          <w:szCs w:val="24"/>
        </w:rPr>
        <w:br w:type="textWrapping"/>
      </w:r>
      <w:r>
        <w:rPr>
          <w:rFonts w:hint="eastAsia" w:ascii="宋体" w:hAnsi="宋体" w:cs="宋体"/>
          <w:sz w:val="24"/>
          <w:szCs w:val="24"/>
        </w:rPr>
        <w:t>《网络安全等级保护定级指南》（GAT1389-2017）</w:t>
      </w:r>
      <w:r>
        <w:rPr>
          <w:rFonts w:hint="eastAsia" w:ascii="宋体" w:hAnsi="宋体" w:cs="宋体"/>
          <w:sz w:val="24"/>
          <w:szCs w:val="24"/>
        </w:rPr>
        <w:br w:type="textWrapping"/>
      </w:r>
      <w:r>
        <w:rPr>
          <w:rFonts w:hint="eastAsia" w:ascii="宋体" w:hAnsi="宋体" w:cs="宋体"/>
          <w:sz w:val="24"/>
          <w:szCs w:val="24"/>
        </w:rPr>
        <w:t>《信息安全等级保护管理办法》（公通字[2007]43号）</w:t>
      </w:r>
      <w:r>
        <w:rPr>
          <w:rFonts w:hint="eastAsia" w:ascii="宋体" w:hAnsi="宋体" w:cs="宋体"/>
          <w:sz w:val="24"/>
          <w:szCs w:val="24"/>
        </w:rPr>
        <w:br w:type="textWrapping"/>
      </w:r>
      <w:r>
        <w:rPr>
          <w:rFonts w:hint="eastAsia" w:ascii="宋体" w:hAnsi="宋体" w:cs="宋体"/>
          <w:sz w:val="24"/>
          <w:szCs w:val="24"/>
        </w:rPr>
        <w:t>《网络安全等级保护基本要求》（GB/T22239-2019）</w:t>
      </w:r>
      <w:r>
        <w:rPr>
          <w:rFonts w:hint="eastAsia" w:ascii="宋体" w:hAnsi="宋体" w:cs="宋体"/>
          <w:sz w:val="24"/>
          <w:szCs w:val="24"/>
        </w:rPr>
        <w:br w:type="textWrapping"/>
      </w:r>
      <w:r>
        <w:rPr>
          <w:rFonts w:hint="eastAsia" w:ascii="宋体" w:hAnsi="宋体" w:cs="宋体"/>
          <w:sz w:val="24"/>
          <w:szCs w:val="24"/>
        </w:rPr>
        <w:t>《网络安全等级保护安全设计技术要求》（GB/T25070-2019）</w:t>
      </w:r>
      <w:r>
        <w:rPr>
          <w:rFonts w:hint="eastAsia" w:ascii="宋体" w:hAnsi="宋体" w:cs="宋体"/>
          <w:sz w:val="24"/>
          <w:szCs w:val="24"/>
        </w:rPr>
        <w:br w:type="textWrapping"/>
      </w:r>
      <w:r>
        <w:rPr>
          <w:rFonts w:hint="eastAsia" w:ascii="宋体" w:hAnsi="宋体" w:cs="宋体"/>
          <w:sz w:val="24"/>
          <w:szCs w:val="24"/>
        </w:rPr>
        <w:t>《网络安全等级保护测评要求》（GB/T28448-2019）</w:t>
      </w:r>
      <w:r>
        <w:rPr>
          <w:rFonts w:hint="eastAsia" w:ascii="宋体" w:hAnsi="宋体" w:cs="宋体"/>
          <w:sz w:val="24"/>
          <w:szCs w:val="24"/>
        </w:rPr>
        <w:br w:type="textWrapping"/>
      </w:r>
      <w:r>
        <w:rPr>
          <w:rFonts w:hint="eastAsia" w:ascii="宋体" w:hAnsi="宋体" w:cs="宋体"/>
          <w:sz w:val="24"/>
          <w:szCs w:val="24"/>
        </w:rPr>
        <w:t>《网络安全等级保护测评过程指南》（GB/T28449-2018）</w:t>
      </w:r>
      <w:r>
        <w:rPr>
          <w:rFonts w:hint="eastAsia" w:ascii="宋体" w:hAnsi="宋体" w:cs="宋体"/>
          <w:sz w:val="24"/>
          <w:szCs w:val="24"/>
        </w:rPr>
        <w:br w:type="textWrapping"/>
      </w:r>
      <w:r>
        <w:rPr>
          <w:rFonts w:hint="eastAsia" w:ascii="宋体" w:hAnsi="宋体" w:cs="宋体"/>
          <w:sz w:val="24"/>
          <w:szCs w:val="24"/>
        </w:rPr>
        <w:t>《信息安全风险评估规范》（GB/T20984-2007）等</w:t>
      </w:r>
    </w:p>
    <w:p w14:paraId="0AEF1C05">
      <w:pPr>
        <w:spacing w:line="460" w:lineRule="exact"/>
        <w:ind w:left="479" w:leftChars="228"/>
        <w:rPr>
          <w:rFonts w:hint="eastAsia" w:ascii="宋体" w:hAnsi="宋体" w:cs="宋体"/>
          <w:sz w:val="24"/>
          <w:szCs w:val="24"/>
        </w:rPr>
      </w:pPr>
      <w:r>
        <w:rPr>
          <w:rFonts w:hint="eastAsia" w:ascii="宋体" w:hAnsi="宋体" w:cs="宋体"/>
          <w:sz w:val="24"/>
          <w:szCs w:val="24"/>
        </w:rPr>
        <w:t>《信息系统安全安全管理要求》（GB/T 20269）</w:t>
      </w:r>
    </w:p>
    <w:p w14:paraId="1736F8D9">
      <w:pPr>
        <w:spacing w:line="460" w:lineRule="exact"/>
        <w:ind w:left="479" w:leftChars="228"/>
        <w:rPr>
          <w:rFonts w:hint="eastAsia" w:ascii="宋体" w:hAnsi="宋体" w:cs="宋体"/>
          <w:sz w:val="24"/>
          <w:szCs w:val="24"/>
        </w:rPr>
      </w:pPr>
      <w:r>
        <w:rPr>
          <w:rFonts w:hint="eastAsia" w:ascii="宋体" w:hAnsi="宋体" w:cs="宋体"/>
          <w:sz w:val="24"/>
          <w:szCs w:val="24"/>
        </w:rPr>
        <w:t>《信息系统安全工程管理要求》（GB/T 20282）</w:t>
      </w:r>
    </w:p>
    <w:p w14:paraId="2C04FA20">
      <w:pPr>
        <w:pStyle w:val="3"/>
        <w:spacing w:before="0" w:after="0" w:line="460" w:lineRule="exact"/>
        <w:ind w:firstLine="480" w:firstLineChars="200"/>
        <w:rPr>
          <w:rFonts w:hint="eastAsia" w:ascii="宋体" w:hAnsi="宋体" w:cs="宋体"/>
          <w:sz w:val="24"/>
          <w:szCs w:val="24"/>
        </w:rPr>
      </w:pPr>
      <w:r>
        <w:rPr>
          <w:rFonts w:hint="eastAsia" w:ascii="宋体" w:hAnsi="宋体" w:cs="宋体"/>
          <w:b w:val="0"/>
          <w:bCs w:val="0"/>
          <w:sz w:val="24"/>
          <w:szCs w:val="24"/>
        </w:rPr>
        <w:t>2、项目内容：</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499"/>
        <w:gridCol w:w="3203"/>
        <w:gridCol w:w="1616"/>
      </w:tblGrid>
      <w:tr w14:paraId="5056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705" w:type="pct"/>
            <w:noWrap w:val="0"/>
            <w:vAlign w:val="center"/>
          </w:tcPr>
          <w:p w14:paraId="3CD1CDAA">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466" w:type="pct"/>
            <w:noWrap w:val="0"/>
            <w:vAlign w:val="center"/>
          </w:tcPr>
          <w:p w14:paraId="4C0CD951">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服务名称</w:t>
            </w:r>
          </w:p>
        </w:tc>
        <w:tc>
          <w:tcPr>
            <w:tcW w:w="1879" w:type="pct"/>
            <w:noWrap w:val="0"/>
            <w:vAlign w:val="center"/>
          </w:tcPr>
          <w:p w14:paraId="5F4981B2">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服务内容</w:t>
            </w:r>
          </w:p>
        </w:tc>
        <w:tc>
          <w:tcPr>
            <w:tcW w:w="948" w:type="pct"/>
            <w:noWrap w:val="0"/>
            <w:vAlign w:val="center"/>
          </w:tcPr>
          <w:p w14:paraId="5D4E111B">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备注</w:t>
            </w:r>
          </w:p>
        </w:tc>
      </w:tr>
      <w:tr w14:paraId="229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5" w:type="pct"/>
            <w:noWrap w:val="0"/>
            <w:vAlign w:val="center"/>
          </w:tcPr>
          <w:p w14:paraId="645E5971">
            <w:pPr>
              <w:widowControl/>
              <w:numPr>
                <w:ilvl w:val="0"/>
                <w:numId w:val="1"/>
              </w:numPr>
              <w:spacing w:line="460" w:lineRule="exact"/>
              <w:jc w:val="center"/>
              <w:rPr>
                <w:rFonts w:hint="eastAsia" w:ascii="宋体" w:hAnsi="宋体" w:cs="宋体"/>
                <w:kern w:val="0"/>
                <w:sz w:val="24"/>
                <w:szCs w:val="24"/>
              </w:rPr>
            </w:pPr>
          </w:p>
        </w:tc>
        <w:tc>
          <w:tcPr>
            <w:tcW w:w="1466" w:type="pct"/>
            <w:noWrap w:val="0"/>
            <w:vAlign w:val="center"/>
          </w:tcPr>
          <w:p w14:paraId="17DAB3EA">
            <w:pPr>
              <w:spacing w:line="460" w:lineRule="exact"/>
              <w:jc w:val="center"/>
              <w:rPr>
                <w:rFonts w:hint="eastAsia" w:ascii="宋体" w:hAnsi="宋体" w:cs="宋体"/>
                <w:kern w:val="0"/>
                <w:sz w:val="24"/>
                <w:szCs w:val="24"/>
              </w:rPr>
            </w:pPr>
            <w:r>
              <w:rPr>
                <w:rFonts w:hint="eastAsia" w:ascii="宋体" w:hAnsi="宋体" w:cs="宋体"/>
                <w:kern w:val="0"/>
                <w:sz w:val="24"/>
                <w:szCs w:val="24"/>
              </w:rPr>
              <w:t>等保定级备案</w:t>
            </w:r>
          </w:p>
        </w:tc>
        <w:tc>
          <w:tcPr>
            <w:tcW w:w="1879" w:type="pct"/>
            <w:noWrap w:val="0"/>
            <w:vAlign w:val="center"/>
          </w:tcPr>
          <w:p w14:paraId="3D8A80DA">
            <w:pPr>
              <w:spacing w:line="460" w:lineRule="exact"/>
              <w:jc w:val="center"/>
              <w:rPr>
                <w:rFonts w:hint="eastAsia" w:ascii="宋体" w:hAnsi="宋体" w:cs="宋体"/>
                <w:kern w:val="0"/>
                <w:sz w:val="24"/>
                <w:szCs w:val="24"/>
              </w:rPr>
            </w:pPr>
            <w:r>
              <w:rPr>
                <w:rFonts w:hint="eastAsia" w:ascii="宋体" w:hAnsi="宋体" w:cs="宋体"/>
                <w:kern w:val="0"/>
                <w:sz w:val="24"/>
                <w:szCs w:val="24"/>
              </w:rPr>
              <w:t>信息系统完成等级保护定级和公安备案工作。</w:t>
            </w:r>
          </w:p>
        </w:tc>
        <w:tc>
          <w:tcPr>
            <w:tcW w:w="948" w:type="pct"/>
            <w:vMerge w:val="restart"/>
            <w:noWrap w:val="0"/>
            <w:vAlign w:val="center"/>
          </w:tcPr>
          <w:p w14:paraId="04B9A81C">
            <w:pPr>
              <w:spacing w:line="460" w:lineRule="exact"/>
              <w:jc w:val="center"/>
              <w:rPr>
                <w:rFonts w:hint="eastAsia" w:ascii="宋体" w:hAnsi="宋体" w:cs="宋体"/>
                <w:kern w:val="0"/>
                <w:sz w:val="24"/>
                <w:szCs w:val="24"/>
              </w:rPr>
            </w:pPr>
            <w:r>
              <w:rPr>
                <w:rFonts w:hint="eastAsia" w:ascii="宋体" w:hAnsi="宋体" w:cs="宋体"/>
                <w:kern w:val="0"/>
                <w:sz w:val="24"/>
                <w:szCs w:val="24"/>
              </w:rPr>
              <w:t>2个三级系统</w:t>
            </w:r>
          </w:p>
          <w:p w14:paraId="7B71357C">
            <w:pPr>
              <w:pStyle w:val="2"/>
              <w:spacing w:line="460" w:lineRule="exact"/>
              <w:rPr>
                <w:rFonts w:hint="eastAsia" w:ascii="宋体" w:hAnsi="宋体" w:cs="宋体"/>
              </w:rPr>
            </w:pPr>
          </w:p>
        </w:tc>
      </w:tr>
      <w:tr w14:paraId="78F9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5" w:type="pct"/>
            <w:noWrap w:val="0"/>
            <w:vAlign w:val="center"/>
          </w:tcPr>
          <w:p w14:paraId="1896C51F">
            <w:pPr>
              <w:widowControl/>
              <w:numPr>
                <w:ilvl w:val="0"/>
                <w:numId w:val="1"/>
              </w:numPr>
              <w:spacing w:line="460" w:lineRule="exact"/>
              <w:jc w:val="center"/>
              <w:rPr>
                <w:rFonts w:hint="eastAsia" w:ascii="宋体" w:hAnsi="宋体" w:cs="宋体"/>
                <w:kern w:val="0"/>
                <w:sz w:val="24"/>
                <w:szCs w:val="24"/>
              </w:rPr>
            </w:pPr>
          </w:p>
        </w:tc>
        <w:tc>
          <w:tcPr>
            <w:tcW w:w="1466" w:type="pct"/>
            <w:noWrap w:val="0"/>
            <w:vAlign w:val="center"/>
          </w:tcPr>
          <w:p w14:paraId="47349ECC">
            <w:pPr>
              <w:spacing w:line="460" w:lineRule="exact"/>
              <w:jc w:val="center"/>
              <w:rPr>
                <w:rFonts w:hint="eastAsia" w:ascii="宋体" w:hAnsi="宋体" w:cs="宋体"/>
                <w:kern w:val="0"/>
                <w:sz w:val="24"/>
                <w:szCs w:val="24"/>
              </w:rPr>
            </w:pPr>
            <w:r>
              <w:rPr>
                <w:rFonts w:hint="eastAsia" w:ascii="宋体" w:hAnsi="宋体" w:cs="宋体"/>
                <w:kern w:val="0"/>
                <w:sz w:val="24"/>
                <w:szCs w:val="24"/>
              </w:rPr>
              <w:t>等级保护测评</w:t>
            </w:r>
          </w:p>
        </w:tc>
        <w:tc>
          <w:tcPr>
            <w:tcW w:w="1879" w:type="pct"/>
            <w:noWrap w:val="0"/>
            <w:vAlign w:val="center"/>
          </w:tcPr>
          <w:p w14:paraId="7749AB8D">
            <w:pPr>
              <w:spacing w:line="460" w:lineRule="exact"/>
              <w:jc w:val="center"/>
              <w:rPr>
                <w:rFonts w:hint="eastAsia" w:ascii="宋体" w:hAnsi="宋体" w:cs="宋体"/>
                <w:kern w:val="0"/>
                <w:sz w:val="24"/>
                <w:szCs w:val="24"/>
              </w:rPr>
            </w:pPr>
            <w:r>
              <w:rPr>
                <w:rFonts w:hint="eastAsia" w:ascii="宋体" w:hAnsi="宋体" w:cs="宋体"/>
                <w:kern w:val="0"/>
                <w:sz w:val="24"/>
                <w:szCs w:val="24"/>
              </w:rPr>
              <w:t>针对的安全状况，按照相应的测评标准，从技术和管理两方面对系统进行合规性验证，查找安全短板。</w:t>
            </w:r>
          </w:p>
        </w:tc>
        <w:tc>
          <w:tcPr>
            <w:tcW w:w="948" w:type="pct"/>
            <w:vMerge w:val="continue"/>
            <w:noWrap w:val="0"/>
            <w:vAlign w:val="center"/>
          </w:tcPr>
          <w:p w14:paraId="33F8F8D4">
            <w:pPr>
              <w:spacing w:line="460" w:lineRule="exact"/>
              <w:jc w:val="center"/>
              <w:rPr>
                <w:rFonts w:hint="eastAsia" w:ascii="宋体" w:hAnsi="宋体" w:cs="宋体"/>
                <w:kern w:val="0"/>
                <w:sz w:val="24"/>
                <w:szCs w:val="24"/>
              </w:rPr>
            </w:pPr>
          </w:p>
        </w:tc>
      </w:tr>
      <w:tr w14:paraId="1658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5" w:type="pct"/>
            <w:noWrap w:val="0"/>
            <w:vAlign w:val="center"/>
          </w:tcPr>
          <w:p w14:paraId="6E62485F">
            <w:pPr>
              <w:widowControl/>
              <w:numPr>
                <w:ilvl w:val="0"/>
                <w:numId w:val="1"/>
              </w:numPr>
              <w:spacing w:line="460" w:lineRule="exact"/>
              <w:jc w:val="center"/>
              <w:rPr>
                <w:rFonts w:hint="eastAsia" w:ascii="宋体" w:hAnsi="宋体" w:cs="宋体"/>
                <w:kern w:val="0"/>
                <w:sz w:val="24"/>
                <w:szCs w:val="24"/>
              </w:rPr>
            </w:pPr>
          </w:p>
        </w:tc>
        <w:tc>
          <w:tcPr>
            <w:tcW w:w="1466" w:type="pct"/>
            <w:noWrap w:val="0"/>
            <w:vAlign w:val="center"/>
          </w:tcPr>
          <w:p w14:paraId="792FF94C">
            <w:pPr>
              <w:spacing w:line="460" w:lineRule="exact"/>
              <w:jc w:val="center"/>
              <w:rPr>
                <w:rFonts w:hint="eastAsia" w:ascii="宋体" w:hAnsi="宋体" w:cs="宋体"/>
                <w:kern w:val="0"/>
                <w:sz w:val="24"/>
                <w:szCs w:val="24"/>
              </w:rPr>
            </w:pPr>
            <w:r>
              <w:rPr>
                <w:rFonts w:hint="eastAsia" w:ascii="宋体" w:hAnsi="宋体" w:cs="宋体"/>
                <w:kern w:val="0"/>
                <w:sz w:val="24"/>
                <w:szCs w:val="24"/>
              </w:rPr>
              <w:t>安全整改方案设计</w:t>
            </w:r>
          </w:p>
        </w:tc>
        <w:tc>
          <w:tcPr>
            <w:tcW w:w="1879" w:type="pct"/>
            <w:noWrap w:val="0"/>
            <w:vAlign w:val="center"/>
          </w:tcPr>
          <w:p w14:paraId="1B23BAED">
            <w:pPr>
              <w:spacing w:line="460" w:lineRule="exact"/>
              <w:jc w:val="center"/>
              <w:rPr>
                <w:rFonts w:hint="eastAsia" w:ascii="宋体" w:hAnsi="宋体" w:cs="宋体"/>
                <w:kern w:val="0"/>
                <w:sz w:val="24"/>
                <w:szCs w:val="24"/>
              </w:rPr>
            </w:pPr>
            <w:r>
              <w:rPr>
                <w:rFonts w:hint="eastAsia" w:ascii="宋体" w:hAnsi="宋体" w:cs="宋体"/>
                <w:kern w:val="0"/>
                <w:sz w:val="24"/>
                <w:szCs w:val="24"/>
              </w:rPr>
              <w:t>在系统测评工作的基础上，对被测单位信息安全管理和技术方面现状进行全面的分析，制订信息安全等级保护安全整改方案。</w:t>
            </w:r>
          </w:p>
        </w:tc>
        <w:tc>
          <w:tcPr>
            <w:tcW w:w="948" w:type="pct"/>
            <w:vMerge w:val="continue"/>
            <w:noWrap w:val="0"/>
            <w:vAlign w:val="center"/>
          </w:tcPr>
          <w:p w14:paraId="7C946DA6">
            <w:pPr>
              <w:spacing w:line="460" w:lineRule="exact"/>
              <w:jc w:val="center"/>
              <w:rPr>
                <w:rFonts w:hint="eastAsia" w:ascii="宋体" w:hAnsi="宋体" w:cs="宋体"/>
                <w:kern w:val="0"/>
                <w:sz w:val="24"/>
                <w:szCs w:val="24"/>
              </w:rPr>
            </w:pPr>
          </w:p>
        </w:tc>
      </w:tr>
      <w:tr w14:paraId="6A15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5" w:type="pct"/>
            <w:noWrap w:val="0"/>
            <w:vAlign w:val="center"/>
          </w:tcPr>
          <w:p w14:paraId="5C87B800">
            <w:pPr>
              <w:widowControl/>
              <w:numPr>
                <w:ilvl w:val="0"/>
                <w:numId w:val="1"/>
              </w:numPr>
              <w:spacing w:line="460" w:lineRule="exact"/>
              <w:jc w:val="center"/>
              <w:rPr>
                <w:rFonts w:hint="eastAsia" w:ascii="宋体" w:hAnsi="宋体" w:cs="宋体"/>
                <w:kern w:val="0"/>
                <w:sz w:val="24"/>
                <w:szCs w:val="24"/>
              </w:rPr>
            </w:pPr>
          </w:p>
        </w:tc>
        <w:tc>
          <w:tcPr>
            <w:tcW w:w="1466" w:type="pct"/>
            <w:noWrap w:val="0"/>
            <w:vAlign w:val="center"/>
          </w:tcPr>
          <w:p w14:paraId="4DBBEC2A">
            <w:pPr>
              <w:spacing w:line="460" w:lineRule="exact"/>
              <w:jc w:val="center"/>
              <w:rPr>
                <w:rFonts w:hint="eastAsia" w:ascii="宋体" w:hAnsi="宋体" w:cs="宋体"/>
                <w:kern w:val="0"/>
                <w:sz w:val="24"/>
                <w:szCs w:val="24"/>
              </w:rPr>
            </w:pPr>
            <w:r>
              <w:rPr>
                <w:rFonts w:hint="eastAsia" w:ascii="宋体" w:hAnsi="宋体" w:cs="宋体"/>
                <w:kern w:val="0"/>
                <w:sz w:val="24"/>
                <w:szCs w:val="24"/>
              </w:rPr>
              <w:t>网络安全重保服务</w:t>
            </w:r>
          </w:p>
        </w:tc>
        <w:tc>
          <w:tcPr>
            <w:tcW w:w="1879" w:type="pct"/>
            <w:noWrap w:val="0"/>
            <w:vAlign w:val="center"/>
          </w:tcPr>
          <w:p w14:paraId="00BDD877">
            <w:pPr>
              <w:spacing w:line="460" w:lineRule="exact"/>
              <w:jc w:val="center"/>
              <w:rPr>
                <w:rFonts w:hint="eastAsia" w:ascii="宋体" w:hAnsi="宋体" w:cs="宋体"/>
                <w:kern w:val="0"/>
                <w:sz w:val="24"/>
                <w:szCs w:val="24"/>
              </w:rPr>
            </w:pPr>
            <w:r>
              <w:rPr>
                <w:rFonts w:hint="eastAsia" w:ascii="宋体" w:hAnsi="宋体" w:cs="宋体"/>
                <w:kern w:val="0"/>
                <w:sz w:val="24"/>
                <w:szCs w:val="24"/>
              </w:rPr>
              <w:t>在重要保障时刻，通过在互联网出入口部署攻击阻断防护系统协助甲方完成突发网络安全事件工作。</w:t>
            </w:r>
          </w:p>
        </w:tc>
        <w:tc>
          <w:tcPr>
            <w:tcW w:w="948" w:type="pct"/>
            <w:noWrap w:val="0"/>
            <w:vAlign w:val="center"/>
          </w:tcPr>
          <w:p w14:paraId="025F0BCF">
            <w:pPr>
              <w:spacing w:line="460" w:lineRule="exact"/>
              <w:jc w:val="center"/>
              <w:rPr>
                <w:rFonts w:hint="eastAsia" w:ascii="宋体" w:hAnsi="宋体" w:cs="宋体"/>
                <w:kern w:val="0"/>
                <w:sz w:val="24"/>
                <w:szCs w:val="24"/>
              </w:rPr>
            </w:pPr>
          </w:p>
        </w:tc>
      </w:tr>
    </w:tbl>
    <w:p w14:paraId="2185A266">
      <w:pPr>
        <w:spacing w:line="460" w:lineRule="exact"/>
        <w:ind w:firstLine="480" w:firstLineChars="200"/>
        <w:rPr>
          <w:rFonts w:hint="eastAsia" w:ascii="宋体" w:hAnsi="宋体" w:cs="宋体"/>
          <w:sz w:val="24"/>
          <w:szCs w:val="24"/>
        </w:rPr>
      </w:pPr>
      <w:r>
        <w:rPr>
          <w:rFonts w:hint="eastAsia" w:ascii="宋体" w:hAnsi="宋体" w:cs="宋体"/>
          <w:sz w:val="24"/>
          <w:szCs w:val="24"/>
        </w:rPr>
        <w:t>以等级保护标准要求为依据，对江铃汽车集团财务有限公司系统在物理安全、主机安全、应用安全、网络安全、数据安全及备份恢复、安全管理制度、安全管理机构、人员安全管理、系统建设管理和系统运维管理10个层面实施等级测评，明确安全责任，了解安全保护现状，排查安全隐患，明确安全需求，并为确立安全策略、制定安全规划、开展安全建设整改工作提供参考，具体目标如下：</w:t>
      </w:r>
    </w:p>
    <w:p w14:paraId="709859EB">
      <w:pPr>
        <w:spacing w:line="460" w:lineRule="exact"/>
        <w:ind w:firstLine="482" w:firstLineChars="200"/>
        <w:rPr>
          <w:rFonts w:hint="eastAsia" w:ascii="宋体" w:hAnsi="宋体" w:cs="宋体"/>
          <w:b/>
          <w:sz w:val="24"/>
          <w:szCs w:val="24"/>
        </w:rPr>
      </w:pPr>
      <w:r>
        <w:rPr>
          <w:rFonts w:hint="eastAsia" w:ascii="宋体" w:hAnsi="宋体" w:cs="宋体"/>
          <w:b/>
          <w:sz w:val="24"/>
          <w:szCs w:val="24"/>
        </w:rPr>
        <w:t>（1）信息系统等级保护测评</w:t>
      </w:r>
    </w:p>
    <w:p w14:paraId="25E3FF92">
      <w:pPr>
        <w:spacing w:line="460" w:lineRule="exact"/>
        <w:ind w:firstLine="480" w:firstLineChars="200"/>
        <w:rPr>
          <w:rFonts w:hint="eastAsia" w:ascii="宋体" w:hAnsi="宋体" w:cs="宋体"/>
          <w:sz w:val="24"/>
          <w:szCs w:val="24"/>
        </w:rPr>
      </w:pPr>
      <w:r>
        <w:rPr>
          <w:rFonts w:hint="eastAsia" w:ascii="宋体" w:hAnsi="宋体" w:cs="宋体"/>
          <w:sz w:val="24"/>
          <w:szCs w:val="24"/>
        </w:rPr>
        <w:t>聘请第三方测评机构展等级保护测评检测。具体要求：工作阶段、流程、内容、及成果交付严格遵循《信息安全技术信息系统安全等级保护测评要求》（GB/T 28448-2019）和《信息安全技术 信息系统安全等级保护测评过程指南》（GB/T 22240-2020）文件，根据系统等级开展相应级别的单项测评和整体测评，并使用自主开发的等级保护智能评估系统提高测评质量并规避实施风险。测评报告内容及格式严格遵照《信息系统安全等级测评报告模版（2019年版）》。</w:t>
      </w:r>
    </w:p>
    <w:p w14:paraId="17636804">
      <w:pPr>
        <w:spacing w:line="460" w:lineRule="exact"/>
        <w:ind w:firstLine="480" w:firstLineChars="200"/>
        <w:rPr>
          <w:rFonts w:hint="eastAsia" w:ascii="宋体" w:hAnsi="宋体" w:cs="宋体"/>
          <w:sz w:val="24"/>
          <w:szCs w:val="24"/>
        </w:rPr>
      </w:pPr>
      <w:r>
        <w:rPr>
          <w:rFonts w:hint="eastAsia" w:ascii="宋体" w:hAnsi="宋体" w:cs="宋体"/>
          <w:sz w:val="24"/>
          <w:szCs w:val="24"/>
        </w:rPr>
        <w:t>按照《信息安全等级保护管理办法》、《信息系统安全保护等级实施指南》，遵循《信息安全等级保护基本要求》（GB/T 22239-2019）等技术标准，从每个信息系统的物理安全、网络安全、主机安全、应用安全、数据和备份恢复、安全管理制度、安全管理机构、人员安全管理、系统建设管理、系统运维管理等10个层面进行测评，为保障测评质量技术团队必须具备两名以上高级等级保护测评师参与本次项目，测评期间参考被测单位自身信息安全管理要求，从安全控制间、层面间、区域间和系统结构间的综合分析进行整体测评，否则做无效响应。</w:t>
      </w:r>
    </w:p>
    <w:p w14:paraId="78D09538">
      <w:pPr>
        <w:spacing w:line="460" w:lineRule="exact"/>
        <w:ind w:firstLine="480" w:firstLineChars="200"/>
        <w:rPr>
          <w:rFonts w:hint="eastAsia" w:ascii="宋体" w:hAnsi="宋体" w:cs="宋体"/>
          <w:sz w:val="24"/>
          <w:szCs w:val="24"/>
        </w:rPr>
      </w:pPr>
      <w:r>
        <w:rPr>
          <w:rFonts w:hint="eastAsia" w:ascii="宋体" w:hAnsi="宋体" w:cs="宋体"/>
          <w:sz w:val="24"/>
          <w:szCs w:val="24"/>
        </w:rPr>
        <w:t>工作过程文件及项目交付成果（包括但不限于）：《信息安全等级保护等级测评报告》。</w:t>
      </w:r>
    </w:p>
    <w:p w14:paraId="7252940F">
      <w:pPr>
        <w:spacing w:line="460" w:lineRule="exact"/>
        <w:ind w:firstLine="480" w:firstLineChars="200"/>
        <w:rPr>
          <w:rFonts w:hint="eastAsia" w:ascii="宋体" w:hAnsi="宋体" w:cs="宋体"/>
          <w:sz w:val="24"/>
          <w:szCs w:val="24"/>
        </w:rPr>
      </w:pPr>
      <w:r>
        <w:rPr>
          <w:rFonts w:hint="eastAsia" w:ascii="宋体" w:hAnsi="宋体" w:cs="宋体"/>
          <w:sz w:val="24"/>
          <w:szCs w:val="24"/>
        </w:rPr>
        <w:t>交付要求：纸质版2份（加盖服务机构公章）。</w:t>
      </w:r>
    </w:p>
    <w:p w14:paraId="6A53F626">
      <w:pPr>
        <w:spacing w:line="460" w:lineRule="exact"/>
        <w:ind w:firstLine="482" w:firstLineChars="200"/>
        <w:rPr>
          <w:rFonts w:hint="eastAsia" w:ascii="宋体" w:hAnsi="宋体" w:cs="宋体"/>
          <w:b/>
          <w:sz w:val="24"/>
          <w:szCs w:val="24"/>
        </w:rPr>
      </w:pPr>
      <w:r>
        <w:rPr>
          <w:rFonts w:hint="eastAsia" w:ascii="宋体" w:hAnsi="宋体" w:cs="宋体"/>
          <w:b/>
          <w:sz w:val="24"/>
          <w:szCs w:val="24"/>
        </w:rPr>
        <w:t>（2）安全建设整改方案设计及防护修复建议</w:t>
      </w:r>
    </w:p>
    <w:p w14:paraId="5A5C1E1F">
      <w:pPr>
        <w:spacing w:line="460" w:lineRule="exact"/>
        <w:ind w:firstLine="480" w:firstLineChars="200"/>
        <w:rPr>
          <w:rFonts w:hint="eastAsia" w:ascii="宋体" w:hAnsi="宋体" w:cs="宋体"/>
          <w:sz w:val="24"/>
          <w:szCs w:val="24"/>
        </w:rPr>
      </w:pPr>
      <w:r>
        <w:rPr>
          <w:rFonts w:hint="eastAsia" w:ascii="宋体" w:hAnsi="宋体" w:cs="宋体"/>
          <w:sz w:val="24"/>
          <w:szCs w:val="24"/>
        </w:rPr>
        <w:t>聘请第三方测评机构依据《信息安全等级保护管理办法》、《信息系统安全保护等级实施指南》文件要求，应按照等级保护第三级要求进行保护，依据《信息系统安全保护等级实施指南》，遵循《信息安全等级保护基本要求》（GB/T 22239-2019）对江铃财务公司2个三级系统进行建设整改分析，比较信息系统与国家标准要求之间的差距。</w:t>
      </w:r>
    </w:p>
    <w:p w14:paraId="094DB8A3">
      <w:pPr>
        <w:spacing w:line="460" w:lineRule="exact"/>
        <w:ind w:firstLine="480" w:firstLineChars="200"/>
        <w:rPr>
          <w:rFonts w:hint="eastAsia" w:ascii="宋体" w:hAnsi="宋体" w:cs="宋体"/>
          <w:sz w:val="24"/>
          <w:szCs w:val="24"/>
        </w:rPr>
      </w:pPr>
      <w:r>
        <w:rPr>
          <w:rFonts w:hint="eastAsia" w:ascii="宋体" w:hAnsi="宋体" w:cs="宋体"/>
          <w:sz w:val="24"/>
          <w:szCs w:val="24"/>
        </w:rPr>
        <w:t>具体要求：依照《信息安全等级保护安全建设整改工作指导意见》，严格遵循《信息安全等级保护安全建设整改工作指南》各项要求，在系统测评工作的基础上，对被测单位信息安全管理和技术方面现状进行全面的分析，制订信息安全等级保护安全整改方案，方案内容包含但不限于：信息安全背景、政策与技术标准依据、当前风险分析、安全需求分析、总体安全策略、安全整改技术方案设计、安全整改管理体系设计、信息系统安全产品选型及技术指标建议、安全整改项目实施计划、项目预算，整改后可能存在的其他问题；出具方案后，需以此方案为基础，开展安全整改咨询和系统加固工作，最终使被测单位安全管理和技术两方面达到相应等级的保护要求。</w:t>
      </w:r>
    </w:p>
    <w:p w14:paraId="23049EB7">
      <w:pPr>
        <w:spacing w:line="460" w:lineRule="exact"/>
        <w:ind w:firstLine="480" w:firstLineChars="200"/>
        <w:rPr>
          <w:rFonts w:hint="eastAsia" w:ascii="宋体" w:hAnsi="宋体" w:cs="宋体"/>
          <w:sz w:val="24"/>
          <w:szCs w:val="24"/>
        </w:rPr>
      </w:pPr>
      <w:r>
        <w:rPr>
          <w:rFonts w:hint="eastAsia" w:ascii="宋体" w:hAnsi="宋体" w:cs="宋体"/>
          <w:sz w:val="24"/>
          <w:szCs w:val="24"/>
        </w:rPr>
        <w:t>工作过程文件及项目交付成果（包括但不限于）：《安全建设整改方案》。</w:t>
      </w:r>
    </w:p>
    <w:p w14:paraId="04ABCBBA">
      <w:pPr>
        <w:spacing w:line="460" w:lineRule="exact"/>
        <w:ind w:firstLine="482" w:firstLineChars="200"/>
        <w:rPr>
          <w:rFonts w:hint="eastAsia" w:ascii="宋体" w:hAnsi="宋体" w:cs="宋体"/>
          <w:b/>
          <w:sz w:val="24"/>
          <w:szCs w:val="24"/>
        </w:rPr>
      </w:pPr>
      <w:r>
        <w:rPr>
          <w:rFonts w:hint="eastAsia" w:ascii="宋体" w:hAnsi="宋体" w:cs="宋体"/>
          <w:b/>
          <w:sz w:val="24"/>
          <w:szCs w:val="24"/>
        </w:rPr>
        <w:t>（3）网络安全重保服务</w:t>
      </w:r>
    </w:p>
    <w:p w14:paraId="414527D5">
      <w:pPr>
        <w:pStyle w:val="5"/>
        <w:spacing w:line="460" w:lineRule="exact"/>
        <w:rPr>
          <w:rFonts w:ascii="宋体" w:hAnsi="宋体" w:cs="宋体"/>
          <w:b/>
          <w:bCs/>
          <w:sz w:val="24"/>
          <w:szCs w:val="24"/>
        </w:rPr>
      </w:pPr>
      <w:r>
        <w:rPr>
          <w:rFonts w:hint="eastAsia" w:ascii="宋体" w:hAnsi="宋体" w:cs="宋体"/>
          <w:sz w:val="24"/>
          <w:szCs w:val="24"/>
        </w:rPr>
        <w:t>具体要求：在重要保障时刻，通过在互联网出入口部署攻击阻断防护系统，依托网防 G01 、网探 D01、 腾讯、 360、奇安信、华为第三方互联网公司汇集的实时威胁情报数据，通过数据汇集、实时联动、攻击画像、情报共享，对监测到的恶意攻击源进行自动化阻断，拦截“敌在侦我”的正向网络攻击，阻断“敌已控我”的外联攻击。</w:t>
      </w:r>
      <w:r>
        <w:rPr>
          <w:rFonts w:hint="eastAsia" w:ascii="宋体" w:hAnsi="宋体" w:cs="宋体"/>
          <w:b/>
          <w:bCs/>
          <w:sz w:val="24"/>
          <w:szCs w:val="24"/>
        </w:rPr>
        <w:t>（响应文件中需提供防护系统截图界面并加盖公章）。</w:t>
      </w:r>
    </w:p>
    <w:p w14:paraId="242BCEE5">
      <w:pPr>
        <w:numPr>
          <w:ilvl w:val="0"/>
          <w:numId w:val="2"/>
        </w:numPr>
        <w:spacing w:line="460" w:lineRule="exact"/>
        <w:ind w:firstLine="482" w:firstLineChars="200"/>
        <w:rPr>
          <w:rFonts w:hint="eastAsia" w:ascii="宋体" w:hAnsi="宋体" w:cs="宋体"/>
          <w:b/>
          <w:sz w:val="24"/>
          <w:szCs w:val="24"/>
        </w:rPr>
      </w:pPr>
      <w:r>
        <w:rPr>
          <w:rFonts w:hint="eastAsia" w:ascii="宋体" w:hAnsi="宋体" w:cs="宋体"/>
          <w:b/>
          <w:sz w:val="24"/>
          <w:szCs w:val="24"/>
        </w:rPr>
        <w:t>质量保证</w:t>
      </w:r>
    </w:p>
    <w:p w14:paraId="732C18D5">
      <w:pPr>
        <w:pStyle w:val="5"/>
        <w:spacing w:line="460" w:lineRule="exact"/>
        <w:rPr>
          <w:rFonts w:hint="eastAsia" w:ascii="宋体" w:hAnsi="宋体" w:cs="宋体"/>
          <w:sz w:val="24"/>
          <w:szCs w:val="24"/>
          <w:lang w:val="zh-CN"/>
        </w:rPr>
      </w:pPr>
      <w:r>
        <w:rPr>
          <w:rFonts w:hint="eastAsia" w:ascii="宋体" w:hAnsi="宋体" w:cs="宋体"/>
          <w:sz w:val="24"/>
          <w:szCs w:val="24"/>
          <w:lang w:val="zh-CN"/>
        </w:rPr>
        <w:t>服务响应时间要求：自接到应急响应通知后，</w:t>
      </w:r>
      <w:r>
        <w:rPr>
          <w:rFonts w:hint="eastAsia" w:ascii="宋体" w:hAnsi="宋体" w:cs="宋体"/>
          <w:sz w:val="24"/>
          <w:szCs w:val="24"/>
        </w:rPr>
        <w:t>1</w:t>
      </w:r>
      <w:r>
        <w:rPr>
          <w:rFonts w:hint="eastAsia" w:ascii="宋体" w:hAnsi="宋体" w:cs="宋体"/>
          <w:sz w:val="24"/>
          <w:szCs w:val="24"/>
          <w:lang w:val="zh-CN"/>
        </w:rPr>
        <w:t>小时内到达采购人处。</w:t>
      </w:r>
    </w:p>
    <w:p w14:paraId="1D0AD91C">
      <w:pPr>
        <w:pStyle w:val="5"/>
        <w:spacing w:line="460" w:lineRule="exact"/>
        <w:rPr>
          <w:rFonts w:hint="eastAsia" w:ascii="宋体" w:hAnsi="宋体" w:cs="宋体"/>
          <w:sz w:val="24"/>
          <w:szCs w:val="24"/>
          <w:lang w:val="zh-CN"/>
        </w:rPr>
      </w:pPr>
      <w:r>
        <w:rPr>
          <w:rFonts w:hint="eastAsia" w:ascii="宋体" w:hAnsi="宋体" w:cs="宋体"/>
          <w:sz w:val="24"/>
          <w:szCs w:val="24"/>
          <w:lang w:val="zh-CN"/>
        </w:rPr>
        <w:t>服务内容：服务期内，成交供应商根据采购人实际情况，负责对交付成果中的文档进行免费修正、优化、补充和完善；服务期内，成交供应商负责有对本项目设计的信息系统提供免费的技术支持的义务，包括应急响应等技术支持服务。应急服务人员需具备专业应急技术服务能力。</w:t>
      </w:r>
    </w:p>
    <w:p w14:paraId="23CC24EF">
      <w:pPr>
        <w:numPr>
          <w:ilvl w:val="0"/>
          <w:numId w:val="2"/>
        </w:numPr>
        <w:spacing w:line="460" w:lineRule="exact"/>
        <w:ind w:firstLine="482" w:firstLineChars="200"/>
        <w:rPr>
          <w:rFonts w:hint="eastAsia" w:ascii="宋体" w:hAnsi="宋体" w:cs="宋体"/>
          <w:b/>
          <w:sz w:val="24"/>
          <w:szCs w:val="24"/>
          <w:lang w:val="zh-CN"/>
        </w:rPr>
      </w:pPr>
      <w:r>
        <w:rPr>
          <w:rFonts w:hint="eastAsia" w:ascii="宋体" w:hAnsi="宋体" w:cs="宋体"/>
          <w:b/>
          <w:sz w:val="24"/>
          <w:szCs w:val="24"/>
          <w:lang w:val="zh-CN"/>
        </w:rPr>
        <w:t>技术服务团队</w:t>
      </w:r>
    </w:p>
    <w:p w14:paraId="1A63909F">
      <w:pPr>
        <w:pStyle w:val="5"/>
        <w:spacing w:line="460" w:lineRule="exact"/>
        <w:ind w:left="420" w:leftChars="200" w:firstLine="0"/>
        <w:rPr>
          <w:rFonts w:hint="eastAsia" w:ascii="宋体" w:hAnsi="宋体" w:cs="宋体"/>
          <w:sz w:val="24"/>
          <w:szCs w:val="24"/>
        </w:rPr>
      </w:pPr>
      <w:r>
        <w:rPr>
          <w:rFonts w:hint="eastAsia" w:ascii="宋体" w:hAnsi="宋体" w:cs="宋体"/>
          <w:sz w:val="24"/>
          <w:szCs w:val="24"/>
          <w:lang w:val="zh-CN"/>
        </w:rPr>
        <w:t>供应商须针对本项目拟派不少于</w:t>
      </w:r>
      <w:r>
        <w:rPr>
          <w:rFonts w:hint="eastAsia" w:ascii="宋体" w:hAnsi="宋体" w:cs="宋体"/>
          <w:sz w:val="24"/>
          <w:szCs w:val="24"/>
        </w:rPr>
        <w:t>5人的</w:t>
      </w:r>
      <w:r>
        <w:rPr>
          <w:rFonts w:hint="eastAsia" w:ascii="宋体" w:hAnsi="宋体" w:cs="宋体"/>
          <w:sz w:val="24"/>
          <w:szCs w:val="24"/>
          <w:lang w:val="zh-CN"/>
        </w:rPr>
        <w:t>技术服务团队。</w:t>
      </w:r>
    </w:p>
    <w:p w14:paraId="4F702C70">
      <w:pPr>
        <w:pStyle w:val="5"/>
        <w:rPr>
          <w:rFonts w:hint="eastAsia" w:ascii="宋体" w:hAnsi="宋体"/>
          <w:b/>
          <w:sz w:val="24"/>
        </w:rPr>
      </w:pPr>
    </w:p>
    <w:p w14:paraId="2294E67F">
      <w:r>
        <w:rPr>
          <w:rFonts w:hint="eastAsia" w:ascii="宋体" w:hAnsi="宋体"/>
          <w:b/>
          <w:sz w:val="24"/>
        </w:rPr>
        <w:t>注：以上“技术要求”为实质性要求，必须完全满足，否则响应无效。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2C489"/>
    <w:multiLevelType w:val="singleLevel"/>
    <w:tmpl w:val="9442C489"/>
    <w:lvl w:ilvl="0" w:tentative="0">
      <w:start w:val="4"/>
      <w:numFmt w:val="decimal"/>
      <w:suff w:val="nothing"/>
      <w:lvlText w:val="（%1）"/>
      <w:lvlJc w:val="left"/>
    </w:lvl>
  </w:abstractNum>
  <w:abstractNum w:abstractNumId="1">
    <w:nsid w:val="2C2F3692"/>
    <w:multiLevelType w:val="multilevel"/>
    <w:tmpl w:val="2C2F36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268526E2"/>
    <w:rsid w:val="2685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center"/>
      <w:textAlignment w:val="baseline"/>
    </w:pPr>
    <w:rPr>
      <w:kern w:val="0"/>
      <w:sz w:val="24"/>
      <w:szCs w:val="24"/>
    </w:rPr>
  </w:style>
  <w:style w:type="paragraph" w:styleId="5">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2024-08-15T07:36:00Z</dcterms:created>
  <dc:creator>包泽宁</dc:creator>
  <cp:lastModifiedBy>包泽宁</cp:lastModifiedBy>
  <dcterms:modified xsi:type="dcterms:W3CDTF">2024-08-15T07:36:46Z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6EDC3B6A619043CAAA72F259174178CF_11</vt:lpwstr>
  </property>
</Properties>
</file>