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E03DE">
      <w:pPr>
        <w:pStyle w:val="2"/>
        <w:spacing w:before="0" w:after="0"/>
        <w:rPr>
          <w:rFonts w:hint="eastAsia" w:ascii="宋体" w:hAnsi="宋体"/>
          <w:color w:val="000000"/>
          <w:sz w:val="28"/>
          <w:szCs w:val="28"/>
        </w:rPr>
      </w:pPr>
      <w:bookmarkStart w:id="0" w:name="_Toc16148"/>
      <w:r>
        <w:rPr>
          <w:rFonts w:hint="eastAsia" w:ascii="宋体" w:hAnsi="宋体"/>
          <w:color w:val="000000"/>
          <w:sz w:val="28"/>
          <w:szCs w:val="28"/>
        </w:rPr>
        <w:t>一、技术要求</w:t>
      </w:r>
      <w:bookmarkEnd w:id="0"/>
    </w:p>
    <w:p w14:paraId="236CBE95">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（一）项目概况</w:t>
      </w:r>
    </w:p>
    <w:p w14:paraId="154FE1BD">
      <w:pPr>
        <w:spacing w:line="460" w:lineRule="exact"/>
        <w:ind w:firstLine="480" w:firstLineChars="200"/>
        <w:rPr>
          <w:rFonts w:hint="eastAsia" w:ascii="宋体" w:hAnsi="宋体" w:cs="宋体"/>
          <w:sz w:val="24"/>
          <w:szCs w:val="24"/>
        </w:rPr>
      </w:pPr>
      <w:r>
        <w:rPr>
          <w:rFonts w:hint="eastAsia" w:ascii="宋体" w:hAnsi="宋体" w:cs="宋体"/>
          <w:sz w:val="24"/>
          <w:szCs w:val="24"/>
        </w:rPr>
        <w:t>本项目为江铃汽车集团财务有限公司部分软硬件设备提供维保服务，包括运维设备的日常维护、故障配件更换、巡检以及系统升级等维护服务，确保运维设备的正常运行。</w:t>
      </w:r>
    </w:p>
    <w:p w14:paraId="630E8CE0">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（二）项目服务内容</w:t>
      </w:r>
    </w:p>
    <w:p w14:paraId="0490DCC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1、运维服务</w:t>
      </w:r>
    </w:p>
    <w:p w14:paraId="723420B1">
      <w:pPr>
        <w:spacing w:line="460" w:lineRule="exact"/>
        <w:ind w:firstLine="480" w:firstLineChars="200"/>
        <w:rPr>
          <w:rFonts w:hint="eastAsia" w:ascii="宋体" w:hAnsi="宋体" w:cs="宋体"/>
          <w:sz w:val="24"/>
          <w:szCs w:val="24"/>
        </w:rPr>
      </w:pPr>
      <w:r>
        <w:rPr>
          <w:rFonts w:hint="eastAsia" w:ascii="宋体" w:hAnsi="宋体" w:cs="宋体"/>
          <w:sz w:val="24"/>
          <w:szCs w:val="24"/>
        </w:rPr>
        <w:t>成交供应商应为本次运维设备提供为期一年的日常管理、技术咨询、故障排除、系统升级改造、定期系统健康检查、免费保修等服务。对产品提供技术咨询、安装迁移、系统升级、故障排除等服务。运维设备清单如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77"/>
        <w:gridCol w:w="1134"/>
        <w:gridCol w:w="1985"/>
        <w:gridCol w:w="708"/>
        <w:gridCol w:w="2744"/>
      </w:tblGrid>
      <w:tr w14:paraId="0268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blHeader/>
          <w:jc w:val="center"/>
        </w:trPr>
        <w:tc>
          <w:tcPr>
            <w:tcW w:w="395" w:type="pct"/>
            <w:shd w:val="clear" w:color="auto" w:fill="E6E6E6"/>
            <w:noWrap w:val="0"/>
            <w:vAlign w:val="center"/>
          </w:tcPr>
          <w:p w14:paraId="2EE37AFA">
            <w:pPr>
              <w:snapToGrid w:val="0"/>
              <w:spacing w:line="460" w:lineRule="exact"/>
              <w:jc w:val="center"/>
              <w:rPr>
                <w:rFonts w:hint="eastAsia" w:ascii="宋体" w:hAnsi="宋体" w:cs="宋体"/>
                <w:b/>
                <w:sz w:val="24"/>
                <w:szCs w:val="24"/>
              </w:rPr>
            </w:pPr>
            <w:r>
              <w:rPr>
                <w:rFonts w:hint="eastAsia" w:ascii="宋体" w:hAnsi="宋体" w:cs="宋体"/>
                <w:b/>
                <w:sz w:val="24"/>
                <w:szCs w:val="24"/>
              </w:rPr>
              <w:t>序号</w:t>
            </w:r>
          </w:p>
        </w:tc>
        <w:tc>
          <w:tcPr>
            <w:tcW w:w="749" w:type="pct"/>
            <w:shd w:val="clear" w:color="auto" w:fill="E6E6E6"/>
            <w:noWrap w:val="0"/>
            <w:vAlign w:val="center"/>
          </w:tcPr>
          <w:p w14:paraId="17FD0DAA">
            <w:pPr>
              <w:snapToGrid w:val="0"/>
              <w:spacing w:line="460" w:lineRule="exact"/>
              <w:jc w:val="center"/>
              <w:rPr>
                <w:rFonts w:hint="eastAsia" w:ascii="宋体" w:hAnsi="宋体" w:cs="宋体"/>
                <w:b/>
                <w:sz w:val="24"/>
                <w:szCs w:val="24"/>
              </w:rPr>
            </w:pPr>
            <w:r>
              <w:rPr>
                <w:rFonts w:hint="eastAsia" w:ascii="宋体" w:hAnsi="宋体" w:cs="宋体"/>
                <w:b/>
                <w:sz w:val="24"/>
                <w:szCs w:val="24"/>
              </w:rPr>
              <w:t>类型</w:t>
            </w:r>
          </w:p>
        </w:tc>
        <w:tc>
          <w:tcPr>
            <w:tcW w:w="665" w:type="pct"/>
            <w:shd w:val="clear" w:color="auto" w:fill="E6E6E6"/>
            <w:noWrap w:val="0"/>
            <w:vAlign w:val="center"/>
          </w:tcPr>
          <w:p w14:paraId="26BD5542">
            <w:pPr>
              <w:snapToGrid w:val="0"/>
              <w:spacing w:line="460" w:lineRule="exact"/>
              <w:jc w:val="center"/>
              <w:rPr>
                <w:rFonts w:hint="eastAsia" w:ascii="宋体" w:hAnsi="宋体" w:cs="宋体"/>
                <w:b/>
                <w:sz w:val="24"/>
                <w:szCs w:val="24"/>
              </w:rPr>
            </w:pPr>
            <w:r>
              <w:rPr>
                <w:rFonts w:hint="eastAsia" w:ascii="宋体" w:hAnsi="宋体" w:cs="宋体"/>
                <w:b/>
                <w:sz w:val="24"/>
                <w:szCs w:val="24"/>
              </w:rPr>
              <w:t>设备名称</w:t>
            </w:r>
          </w:p>
        </w:tc>
        <w:tc>
          <w:tcPr>
            <w:tcW w:w="1164" w:type="pct"/>
            <w:shd w:val="clear" w:color="auto" w:fill="E6E6E6"/>
            <w:noWrap w:val="0"/>
            <w:vAlign w:val="center"/>
          </w:tcPr>
          <w:p w14:paraId="425EBD23">
            <w:pPr>
              <w:snapToGrid w:val="0"/>
              <w:spacing w:line="460" w:lineRule="exact"/>
              <w:jc w:val="center"/>
              <w:rPr>
                <w:rFonts w:hint="eastAsia" w:ascii="宋体" w:hAnsi="宋体" w:cs="宋体"/>
                <w:b/>
                <w:sz w:val="24"/>
                <w:szCs w:val="24"/>
              </w:rPr>
            </w:pPr>
            <w:r>
              <w:rPr>
                <w:rFonts w:hint="eastAsia" w:ascii="宋体" w:hAnsi="宋体" w:cs="宋体"/>
                <w:b/>
                <w:sz w:val="24"/>
                <w:szCs w:val="24"/>
              </w:rPr>
              <w:t>品牌型号</w:t>
            </w:r>
          </w:p>
        </w:tc>
        <w:tc>
          <w:tcPr>
            <w:tcW w:w="415" w:type="pct"/>
            <w:shd w:val="clear" w:color="auto" w:fill="E6E6E6"/>
            <w:noWrap w:val="0"/>
            <w:vAlign w:val="center"/>
          </w:tcPr>
          <w:p w14:paraId="19B10073">
            <w:pPr>
              <w:snapToGrid w:val="0"/>
              <w:spacing w:line="460" w:lineRule="exact"/>
              <w:jc w:val="center"/>
              <w:rPr>
                <w:rFonts w:hint="eastAsia" w:ascii="宋体" w:hAnsi="宋体" w:cs="宋体"/>
                <w:b/>
                <w:sz w:val="24"/>
                <w:szCs w:val="24"/>
              </w:rPr>
            </w:pPr>
            <w:r>
              <w:rPr>
                <w:rFonts w:hint="eastAsia" w:ascii="宋体" w:hAnsi="宋体" w:cs="宋体"/>
                <w:b/>
                <w:sz w:val="24"/>
                <w:szCs w:val="24"/>
              </w:rPr>
              <w:t>数量</w:t>
            </w:r>
          </w:p>
        </w:tc>
        <w:tc>
          <w:tcPr>
            <w:tcW w:w="1609" w:type="pct"/>
            <w:shd w:val="clear" w:color="auto" w:fill="E6E6E6"/>
            <w:noWrap w:val="0"/>
            <w:vAlign w:val="center"/>
          </w:tcPr>
          <w:p w14:paraId="0E5A66EE">
            <w:pPr>
              <w:snapToGrid w:val="0"/>
              <w:spacing w:line="460" w:lineRule="exact"/>
              <w:jc w:val="center"/>
              <w:rPr>
                <w:rFonts w:hint="eastAsia" w:ascii="宋体" w:hAnsi="宋体" w:cs="宋体"/>
                <w:b/>
                <w:sz w:val="24"/>
                <w:szCs w:val="24"/>
              </w:rPr>
            </w:pPr>
            <w:r>
              <w:rPr>
                <w:rFonts w:hint="eastAsia" w:ascii="宋体" w:hAnsi="宋体" w:cs="宋体"/>
                <w:b/>
                <w:sz w:val="24"/>
                <w:szCs w:val="24"/>
              </w:rPr>
              <w:t>服务内容</w:t>
            </w:r>
          </w:p>
        </w:tc>
      </w:tr>
      <w:tr w14:paraId="7D7E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5" w:type="pct"/>
            <w:vMerge w:val="restart"/>
            <w:noWrap w:val="0"/>
            <w:vAlign w:val="center"/>
          </w:tcPr>
          <w:p w14:paraId="1978EEAB">
            <w:pPr>
              <w:snapToGrid w:val="0"/>
              <w:spacing w:line="460" w:lineRule="exact"/>
              <w:jc w:val="center"/>
              <w:rPr>
                <w:rFonts w:hint="eastAsia" w:ascii="宋体" w:hAnsi="宋体" w:cs="宋体"/>
                <w:sz w:val="24"/>
                <w:szCs w:val="24"/>
              </w:rPr>
            </w:pPr>
            <w:r>
              <w:rPr>
                <w:rFonts w:hint="eastAsia" w:ascii="宋体" w:hAnsi="宋体" w:cs="宋体"/>
                <w:sz w:val="24"/>
                <w:szCs w:val="24"/>
              </w:rPr>
              <w:t>1</w:t>
            </w:r>
          </w:p>
        </w:tc>
        <w:tc>
          <w:tcPr>
            <w:tcW w:w="749" w:type="pct"/>
            <w:vMerge w:val="restart"/>
            <w:noWrap w:val="0"/>
            <w:vAlign w:val="center"/>
          </w:tcPr>
          <w:p w14:paraId="796BFFB9">
            <w:pPr>
              <w:snapToGrid w:val="0"/>
              <w:spacing w:line="460" w:lineRule="exact"/>
              <w:jc w:val="center"/>
              <w:rPr>
                <w:rFonts w:hint="eastAsia" w:ascii="宋体" w:hAnsi="宋体" w:cs="宋体"/>
                <w:sz w:val="24"/>
                <w:szCs w:val="24"/>
              </w:rPr>
            </w:pPr>
            <w:r>
              <w:rPr>
                <w:rFonts w:hint="eastAsia" w:ascii="宋体" w:hAnsi="宋体" w:cs="宋体"/>
                <w:sz w:val="24"/>
                <w:szCs w:val="24"/>
              </w:rPr>
              <w:t>★安全设备</w:t>
            </w:r>
          </w:p>
        </w:tc>
        <w:tc>
          <w:tcPr>
            <w:tcW w:w="665" w:type="pct"/>
            <w:noWrap w:val="0"/>
            <w:vAlign w:val="center"/>
          </w:tcPr>
          <w:p w14:paraId="6C4D105F">
            <w:pPr>
              <w:snapToGrid w:val="0"/>
              <w:spacing w:line="460" w:lineRule="exact"/>
              <w:jc w:val="center"/>
              <w:rPr>
                <w:rFonts w:hint="eastAsia" w:ascii="宋体" w:hAnsi="宋体" w:cs="宋体"/>
                <w:sz w:val="24"/>
                <w:szCs w:val="24"/>
              </w:rPr>
            </w:pPr>
            <w:r>
              <w:rPr>
                <w:rFonts w:hint="eastAsia" w:ascii="宋体" w:hAnsi="宋体" w:cs="宋体"/>
                <w:sz w:val="24"/>
                <w:szCs w:val="24"/>
              </w:rPr>
              <w:t>WAF</w:t>
            </w:r>
          </w:p>
        </w:tc>
        <w:tc>
          <w:tcPr>
            <w:tcW w:w="1164" w:type="pct"/>
            <w:noWrap w:val="0"/>
            <w:vAlign w:val="center"/>
          </w:tcPr>
          <w:p w14:paraId="6EED93BD">
            <w:pPr>
              <w:snapToGrid w:val="0"/>
              <w:spacing w:line="460" w:lineRule="exact"/>
              <w:jc w:val="center"/>
              <w:rPr>
                <w:rFonts w:hint="eastAsia" w:ascii="宋体" w:hAnsi="宋体" w:cs="宋体"/>
                <w:sz w:val="24"/>
                <w:szCs w:val="24"/>
              </w:rPr>
            </w:pPr>
            <w:r>
              <w:rPr>
                <w:rFonts w:hint="eastAsia" w:ascii="宋体" w:hAnsi="宋体" w:cs="宋体"/>
                <w:color w:val="000000"/>
                <w:sz w:val="24"/>
                <w:szCs w:val="24"/>
              </w:rPr>
              <w:t>绿盟 WAF-NX3</w:t>
            </w:r>
          </w:p>
        </w:tc>
        <w:tc>
          <w:tcPr>
            <w:tcW w:w="415" w:type="pct"/>
            <w:noWrap w:val="0"/>
            <w:vAlign w:val="center"/>
          </w:tcPr>
          <w:p w14:paraId="5CB40DDA">
            <w:pPr>
              <w:snapToGrid w:val="0"/>
              <w:spacing w:line="460" w:lineRule="exact"/>
              <w:jc w:val="center"/>
              <w:rPr>
                <w:rFonts w:hint="eastAsia" w:ascii="宋体" w:hAnsi="宋体" w:cs="宋体"/>
                <w:sz w:val="24"/>
                <w:szCs w:val="24"/>
              </w:rPr>
            </w:pPr>
            <w:r>
              <w:rPr>
                <w:rFonts w:hint="eastAsia" w:ascii="宋体" w:hAnsi="宋体" w:cs="宋体"/>
                <w:sz w:val="24"/>
                <w:szCs w:val="24"/>
              </w:rPr>
              <w:t>1台</w:t>
            </w:r>
          </w:p>
        </w:tc>
        <w:tc>
          <w:tcPr>
            <w:tcW w:w="1609" w:type="pct"/>
            <w:vMerge w:val="restart"/>
            <w:noWrap w:val="0"/>
            <w:vAlign w:val="center"/>
          </w:tcPr>
          <w:p w14:paraId="372A1DA3">
            <w:pPr>
              <w:snapToGrid w:val="0"/>
              <w:spacing w:line="460" w:lineRule="exact"/>
              <w:jc w:val="center"/>
              <w:rPr>
                <w:rFonts w:hint="eastAsia" w:ascii="宋体" w:hAnsi="宋体" w:cs="宋体"/>
                <w:sz w:val="24"/>
                <w:szCs w:val="24"/>
              </w:rPr>
            </w:pPr>
            <w:r>
              <w:rPr>
                <w:rFonts w:hint="eastAsia" w:ascii="宋体" w:hAnsi="宋体" w:cs="宋体"/>
                <w:sz w:val="24"/>
                <w:szCs w:val="24"/>
              </w:rPr>
              <w:t>日常安全监控、安全策略调整、安全事件管理、故障排除等</w:t>
            </w:r>
          </w:p>
        </w:tc>
      </w:tr>
      <w:tr w14:paraId="7B8E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5" w:type="pct"/>
            <w:vMerge w:val="continue"/>
            <w:noWrap w:val="0"/>
            <w:vAlign w:val="center"/>
          </w:tcPr>
          <w:p w14:paraId="7C9DFFDC">
            <w:pPr>
              <w:snapToGrid w:val="0"/>
              <w:spacing w:line="460" w:lineRule="exact"/>
              <w:jc w:val="center"/>
              <w:rPr>
                <w:rFonts w:hint="eastAsia" w:ascii="宋体" w:hAnsi="宋体" w:cs="宋体"/>
                <w:sz w:val="24"/>
                <w:szCs w:val="24"/>
              </w:rPr>
            </w:pPr>
          </w:p>
        </w:tc>
        <w:tc>
          <w:tcPr>
            <w:tcW w:w="749" w:type="pct"/>
            <w:vMerge w:val="continue"/>
            <w:noWrap w:val="0"/>
            <w:vAlign w:val="center"/>
          </w:tcPr>
          <w:p w14:paraId="4F2A22EB">
            <w:pPr>
              <w:snapToGrid w:val="0"/>
              <w:spacing w:line="460" w:lineRule="exact"/>
              <w:jc w:val="center"/>
              <w:rPr>
                <w:rFonts w:hint="eastAsia" w:ascii="宋体" w:hAnsi="宋体" w:cs="宋体"/>
                <w:sz w:val="24"/>
                <w:szCs w:val="24"/>
              </w:rPr>
            </w:pPr>
          </w:p>
        </w:tc>
        <w:tc>
          <w:tcPr>
            <w:tcW w:w="665" w:type="pct"/>
            <w:noWrap w:val="0"/>
            <w:vAlign w:val="center"/>
          </w:tcPr>
          <w:p w14:paraId="36F0A0C6">
            <w:pPr>
              <w:snapToGrid w:val="0"/>
              <w:spacing w:line="460" w:lineRule="exact"/>
              <w:jc w:val="center"/>
              <w:rPr>
                <w:rFonts w:hint="eastAsia" w:ascii="宋体" w:hAnsi="宋体" w:cs="宋体"/>
                <w:sz w:val="24"/>
                <w:szCs w:val="24"/>
              </w:rPr>
            </w:pPr>
            <w:r>
              <w:rPr>
                <w:rFonts w:hint="eastAsia" w:ascii="宋体" w:hAnsi="宋体" w:cs="宋体"/>
                <w:sz w:val="24"/>
                <w:szCs w:val="24"/>
              </w:rPr>
              <w:t>IPS</w:t>
            </w:r>
          </w:p>
        </w:tc>
        <w:tc>
          <w:tcPr>
            <w:tcW w:w="1164" w:type="pct"/>
            <w:noWrap w:val="0"/>
            <w:vAlign w:val="center"/>
          </w:tcPr>
          <w:p w14:paraId="19B36B83">
            <w:pPr>
              <w:snapToGrid w:val="0"/>
              <w:spacing w:line="460" w:lineRule="exact"/>
              <w:jc w:val="center"/>
              <w:rPr>
                <w:rFonts w:hint="eastAsia" w:ascii="宋体" w:hAnsi="宋体" w:cs="宋体"/>
                <w:sz w:val="24"/>
                <w:szCs w:val="24"/>
              </w:rPr>
            </w:pPr>
            <w:r>
              <w:rPr>
                <w:rFonts w:hint="eastAsia" w:ascii="宋体" w:hAnsi="宋体" w:cs="宋体"/>
                <w:color w:val="000000"/>
                <w:sz w:val="24"/>
                <w:szCs w:val="24"/>
              </w:rPr>
              <w:t>绿盟 NIPS-NX3</w:t>
            </w:r>
          </w:p>
        </w:tc>
        <w:tc>
          <w:tcPr>
            <w:tcW w:w="415" w:type="pct"/>
            <w:noWrap w:val="0"/>
            <w:vAlign w:val="center"/>
          </w:tcPr>
          <w:p w14:paraId="3C38BBAB">
            <w:pPr>
              <w:snapToGrid w:val="0"/>
              <w:spacing w:line="460" w:lineRule="exact"/>
              <w:jc w:val="center"/>
              <w:rPr>
                <w:rFonts w:hint="eastAsia" w:ascii="宋体" w:hAnsi="宋体" w:cs="宋体"/>
                <w:sz w:val="24"/>
                <w:szCs w:val="24"/>
              </w:rPr>
            </w:pPr>
            <w:r>
              <w:rPr>
                <w:rFonts w:hint="eastAsia" w:ascii="宋体" w:hAnsi="宋体" w:cs="宋体"/>
                <w:sz w:val="24"/>
                <w:szCs w:val="24"/>
              </w:rPr>
              <w:t>1台</w:t>
            </w:r>
          </w:p>
        </w:tc>
        <w:tc>
          <w:tcPr>
            <w:tcW w:w="1609" w:type="pct"/>
            <w:vMerge w:val="continue"/>
            <w:noWrap w:val="0"/>
            <w:vAlign w:val="center"/>
          </w:tcPr>
          <w:p w14:paraId="05597048">
            <w:pPr>
              <w:snapToGrid w:val="0"/>
              <w:spacing w:line="460" w:lineRule="exact"/>
              <w:jc w:val="center"/>
              <w:rPr>
                <w:rFonts w:hint="eastAsia" w:ascii="宋体" w:hAnsi="宋体" w:cs="宋体"/>
                <w:sz w:val="24"/>
                <w:szCs w:val="24"/>
              </w:rPr>
            </w:pPr>
          </w:p>
        </w:tc>
      </w:tr>
      <w:tr w14:paraId="2ECA1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95" w:type="pct"/>
            <w:noWrap w:val="0"/>
            <w:vAlign w:val="center"/>
          </w:tcPr>
          <w:p w14:paraId="699D931A">
            <w:pPr>
              <w:snapToGrid w:val="0"/>
              <w:spacing w:line="460" w:lineRule="exact"/>
              <w:jc w:val="center"/>
              <w:rPr>
                <w:rFonts w:hint="eastAsia" w:ascii="宋体" w:hAnsi="宋体" w:cs="宋体"/>
                <w:sz w:val="24"/>
                <w:szCs w:val="24"/>
              </w:rPr>
            </w:pPr>
            <w:r>
              <w:rPr>
                <w:rFonts w:hint="eastAsia" w:ascii="宋体" w:hAnsi="宋体" w:cs="宋体"/>
                <w:sz w:val="24"/>
                <w:szCs w:val="24"/>
              </w:rPr>
              <w:t>2</w:t>
            </w:r>
          </w:p>
        </w:tc>
        <w:tc>
          <w:tcPr>
            <w:tcW w:w="749" w:type="pct"/>
            <w:noWrap w:val="0"/>
            <w:vAlign w:val="center"/>
          </w:tcPr>
          <w:p w14:paraId="46602E30">
            <w:pPr>
              <w:snapToGrid w:val="0"/>
              <w:spacing w:line="460" w:lineRule="exact"/>
              <w:jc w:val="center"/>
              <w:rPr>
                <w:rFonts w:hint="eastAsia" w:ascii="宋体" w:hAnsi="宋体" w:cs="宋体"/>
                <w:sz w:val="24"/>
                <w:szCs w:val="24"/>
              </w:rPr>
            </w:pPr>
            <w:r>
              <w:rPr>
                <w:rFonts w:hint="eastAsia" w:ascii="宋体" w:hAnsi="宋体" w:cs="宋体"/>
                <w:sz w:val="24"/>
                <w:szCs w:val="24"/>
              </w:rPr>
              <w:t>计算节点</w:t>
            </w:r>
          </w:p>
        </w:tc>
        <w:tc>
          <w:tcPr>
            <w:tcW w:w="665" w:type="pct"/>
            <w:noWrap w:val="0"/>
            <w:vAlign w:val="center"/>
          </w:tcPr>
          <w:p w14:paraId="1465DC0B">
            <w:pPr>
              <w:snapToGrid w:val="0"/>
              <w:spacing w:line="460" w:lineRule="exact"/>
              <w:jc w:val="center"/>
              <w:rPr>
                <w:rFonts w:hint="eastAsia" w:ascii="宋体" w:hAnsi="宋体" w:cs="宋体"/>
                <w:sz w:val="24"/>
                <w:szCs w:val="24"/>
              </w:rPr>
            </w:pPr>
            <w:r>
              <w:rPr>
                <w:rFonts w:hint="eastAsia" w:ascii="宋体" w:hAnsi="宋体" w:cs="宋体"/>
                <w:sz w:val="24"/>
                <w:szCs w:val="24"/>
              </w:rPr>
              <w:t>服务器</w:t>
            </w:r>
          </w:p>
        </w:tc>
        <w:tc>
          <w:tcPr>
            <w:tcW w:w="1164" w:type="pct"/>
            <w:noWrap w:val="0"/>
            <w:vAlign w:val="center"/>
          </w:tcPr>
          <w:p w14:paraId="27BCE90A">
            <w:pPr>
              <w:snapToGrid w:val="0"/>
              <w:spacing w:line="460" w:lineRule="exact"/>
              <w:jc w:val="center"/>
              <w:rPr>
                <w:rFonts w:hint="eastAsia" w:ascii="宋体" w:hAnsi="宋体" w:cs="宋体"/>
                <w:sz w:val="24"/>
                <w:szCs w:val="24"/>
              </w:rPr>
            </w:pPr>
            <w:r>
              <w:rPr>
                <w:rFonts w:hint="eastAsia" w:ascii="宋体" w:hAnsi="宋体" w:cs="宋体"/>
                <w:sz w:val="24"/>
                <w:szCs w:val="24"/>
              </w:rPr>
              <w:t>华为 2488H V5</w:t>
            </w:r>
          </w:p>
        </w:tc>
        <w:tc>
          <w:tcPr>
            <w:tcW w:w="415" w:type="pct"/>
            <w:noWrap w:val="0"/>
            <w:vAlign w:val="center"/>
          </w:tcPr>
          <w:p w14:paraId="7B364E3B">
            <w:pPr>
              <w:snapToGrid w:val="0"/>
              <w:spacing w:line="460" w:lineRule="exact"/>
              <w:jc w:val="center"/>
              <w:rPr>
                <w:rFonts w:hint="eastAsia" w:ascii="宋体" w:hAnsi="宋体" w:cs="宋体"/>
                <w:sz w:val="24"/>
                <w:szCs w:val="24"/>
              </w:rPr>
            </w:pPr>
            <w:r>
              <w:rPr>
                <w:rFonts w:hint="eastAsia" w:ascii="宋体" w:hAnsi="宋体" w:cs="宋体"/>
                <w:sz w:val="24"/>
                <w:szCs w:val="24"/>
              </w:rPr>
              <w:t>4台</w:t>
            </w:r>
          </w:p>
        </w:tc>
        <w:tc>
          <w:tcPr>
            <w:tcW w:w="1609" w:type="pct"/>
            <w:noWrap w:val="0"/>
            <w:vAlign w:val="center"/>
          </w:tcPr>
          <w:p w14:paraId="4A870D8C">
            <w:pPr>
              <w:snapToGrid w:val="0"/>
              <w:spacing w:line="460" w:lineRule="exact"/>
              <w:jc w:val="center"/>
              <w:rPr>
                <w:rFonts w:hint="eastAsia" w:ascii="宋体" w:hAnsi="宋体" w:cs="宋体"/>
                <w:sz w:val="24"/>
                <w:szCs w:val="24"/>
              </w:rPr>
            </w:pPr>
            <w:r>
              <w:rPr>
                <w:rFonts w:hint="eastAsia" w:ascii="宋体" w:hAnsi="宋体" w:cs="宋体"/>
                <w:sz w:val="24"/>
                <w:szCs w:val="24"/>
              </w:rPr>
              <w:t>日常管理、系统或补丁升级、病毒查杀、故障排除等</w:t>
            </w:r>
          </w:p>
        </w:tc>
      </w:tr>
      <w:tr w14:paraId="05FFC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95" w:type="pct"/>
            <w:noWrap w:val="0"/>
            <w:vAlign w:val="center"/>
          </w:tcPr>
          <w:p w14:paraId="1F0BD4A9">
            <w:pPr>
              <w:snapToGrid w:val="0"/>
              <w:spacing w:line="460" w:lineRule="exact"/>
              <w:jc w:val="center"/>
              <w:rPr>
                <w:rFonts w:hint="eastAsia" w:ascii="宋体" w:hAnsi="宋体" w:cs="宋体"/>
                <w:sz w:val="24"/>
                <w:szCs w:val="24"/>
              </w:rPr>
            </w:pPr>
            <w:r>
              <w:rPr>
                <w:rFonts w:hint="eastAsia" w:ascii="宋体" w:hAnsi="宋体" w:cs="宋体"/>
                <w:sz w:val="24"/>
                <w:szCs w:val="24"/>
              </w:rPr>
              <w:t>3</w:t>
            </w:r>
          </w:p>
        </w:tc>
        <w:tc>
          <w:tcPr>
            <w:tcW w:w="749" w:type="pct"/>
            <w:noWrap w:val="0"/>
            <w:vAlign w:val="center"/>
          </w:tcPr>
          <w:p w14:paraId="02B41B64">
            <w:pPr>
              <w:snapToGrid w:val="0"/>
              <w:spacing w:line="460" w:lineRule="exact"/>
              <w:jc w:val="center"/>
              <w:rPr>
                <w:rFonts w:hint="eastAsia" w:ascii="宋体" w:hAnsi="宋体" w:cs="宋体"/>
                <w:sz w:val="24"/>
                <w:szCs w:val="24"/>
              </w:rPr>
            </w:pPr>
            <w:r>
              <w:rPr>
                <w:rFonts w:hint="eastAsia" w:ascii="宋体" w:hAnsi="宋体" w:cs="宋体"/>
                <w:sz w:val="24"/>
                <w:szCs w:val="24"/>
              </w:rPr>
              <w:t>★虚拟化软件</w:t>
            </w:r>
          </w:p>
        </w:tc>
        <w:tc>
          <w:tcPr>
            <w:tcW w:w="665" w:type="pct"/>
            <w:noWrap w:val="0"/>
            <w:vAlign w:val="center"/>
          </w:tcPr>
          <w:p w14:paraId="083DAAA8">
            <w:pPr>
              <w:snapToGrid w:val="0"/>
              <w:spacing w:line="460" w:lineRule="exact"/>
              <w:jc w:val="center"/>
              <w:rPr>
                <w:rFonts w:hint="eastAsia" w:ascii="宋体" w:hAnsi="宋体" w:cs="宋体"/>
                <w:sz w:val="24"/>
                <w:szCs w:val="24"/>
              </w:rPr>
            </w:pPr>
            <w:r>
              <w:rPr>
                <w:rFonts w:hint="eastAsia" w:ascii="宋体" w:hAnsi="宋体" w:cs="宋体"/>
                <w:sz w:val="24"/>
                <w:szCs w:val="24"/>
              </w:rPr>
              <w:t>虚拟化软件</w:t>
            </w:r>
          </w:p>
        </w:tc>
        <w:tc>
          <w:tcPr>
            <w:tcW w:w="1164" w:type="pct"/>
            <w:noWrap w:val="0"/>
            <w:vAlign w:val="center"/>
          </w:tcPr>
          <w:p w14:paraId="4F1D1A94">
            <w:pPr>
              <w:widowControl/>
              <w:snapToGrid w:val="0"/>
              <w:spacing w:line="460" w:lineRule="exact"/>
              <w:jc w:val="center"/>
              <w:rPr>
                <w:rFonts w:hint="eastAsia" w:ascii="宋体" w:hAnsi="宋体" w:cs="宋体"/>
                <w:sz w:val="24"/>
                <w:szCs w:val="24"/>
              </w:rPr>
            </w:pPr>
            <w:r>
              <w:rPr>
                <w:rFonts w:hint="eastAsia" w:ascii="宋体" w:hAnsi="宋体" w:cs="宋体"/>
                <w:sz w:val="24"/>
                <w:szCs w:val="24"/>
              </w:rPr>
              <w:t>华为FusionCompute标准版</w:t>
            </w:r>
          </w:p>
        </w:tc>
        <w:tc>
          <w:tcPr>
            <w:tcW w:w="415" w:type="pct"/>
            <w:noWrap w:val="0"/>
            <w:vAlign w:val="center"/>
          </w:tcPr>
          <w:p w14:paraId="7FC6DEC6">
            <w:pPr>
              <w:snapToGrid w:val="0"/>
              <w:spacing w:line="460" w:lineRule="exact"/>
              <w:jc w:val="center"/>
              <w:rPr>
                <w:rFonts w:hint="eastAsia" w:ascii="宋体" w:hAnsi="宋体" w:cs="宋体"/>
                <w:sz w:val="24"/>
                <w:szCs w:val="24"/>
              </w:rPr>
            </w:pPr>
            <w:r>
              <w:rPr>
                <w:rFonts w:hint="eastAsia" w:ascii="宋体" w:hAnsi="宋体" w:cs="宋体"/>
                <w:sz w:val="24"/>
                <w:szCs w:val="24"/>
              </w:rPr>
              <w:t>1套</w:t>
            </w:r>
          </w:p>
        </w:tc>
        <w:tc>
          <w:tcPr>
            <w:tcW w:w="1609" w:type="pct"/>
            <w:noWrap w:val="0"/>
            <w:vAlign w:val="center"/>
          </w:tcPr>
          <w:p w14:paraId="739C4A2B">
            <w:pPr>
              <w:snapToGrid w:val="0"/>
              <w:spacing w:line="460" w:lineRule="exact"/>
              <w:jc w:val="center"/>
              <w:rPr>
                <w:rFonts w:hint="eastAsia" w:ascii="宋体" w:hAnsi="宋体" w:cs="宋体"/>
                <w:sz w:val="24"/>
                <w:szCs w:val="24"/>
              </w:rPr>
            </w:pPr>
            <w:r>
              <w:rPr>
                <w:rFonts w:hint="eastAsia" w:ascii="宋体" w:hAnsi="宋体" w:cs="宋体"/>
                <w:sz w:val="24"/>
                <w:szCs w:val="24"/>
              </w:rPr>
              <w:t>日常管理，软件系统基本维护，系统调优、升级、数据迁移</w:t>
            </w:r>
          </w:p>
        </w:tc>
      </w:tr>
    </w:tbl>
    <w:p w14:paraId="0160FA60">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备注：带★产品，响应文件中需提供原厂售后服务承诺函原件，否则视为响应无效。</w:t>
      </w:r>
    </w:p>
    <w:p w14:paraId="66C2FCA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（三）运维服务技术要求</w:t>
      </w:r>
    </w:p>
    <w:p w14:paraId="7DB4BCBB">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1、原厂维保服务</w:t>
      </w:r>
    </w:p>
    <w:p w14:paraId="0548822D">
      <w:pPr>
        <w:spacing w:line="460" w:lineRule="exact"/>
        <w:ind w:firstLine="480" w:firstLineChars="200"/>
        <w:rPr>
          <w:rFonts w:hint="eastAsia" w:ascii="宋体" w:hAnsi="宋体" w:cs="宋体"/>
          <w:sz w:val="24"/>
          <w:szCs w:val="24"/>
        </w:rPr>
      </w:pPr>
      <w:r>
        <w:rPr>
          <w:rFonts w:hint="eastAsia" w:ascii="宋体" w:hAnsi="宋体" w:cs="宋体"/>
          <w:sz w:val="24"/>
          <w:szCs w:val="24"/>
        </w:rPr>
        <w:t>本项目整体由成交供应商服务，运维设备清单中带★产品需提供原厂维保、备件及更换服务。在服务过程中成交供应商应充分调动项目运维团队的技术力量，快速研判维保设备和系统的故障信息，及时提供技术支持服务，协助产品原厂商进行故障处理。</w:t>
      </w:r>
    </w:p>
    <w:p w14:paraId="68B6C0F0">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2、运维服务要求</w:t>
      </w:r>
    </w:p>
    <w:p w14:paraId="3FD39945">
      <w:pPr>
        <w:spacing w:line="460" w:lineRule="exact"/>
        <w:ind w:firstLine="480" w:firstLineChars="200"/>
        <w:rPr>
          <w:rFonts w:hint="eastAsia" w:ascii="宋体" w:hAnsi="宋体" w:cs="宋体"/>
          <w:sz w:val="24"/>
          <w:szCs w:val="24"/>
        </w:rPr>
      </w:pPr>
      <w:r>
        <w:rPr>
          <w:rFonts w:hint="eastAsia" w:ascii="宋体" w:hAnsi="宋体" w:cs="宋体"/>
          <w:sz w:val="24"/>
          <w:szCs w:val="24"/>
        </w:rPr>
        <w:t>成交供应商应对采购人提出的服务请求做出及时响应，采取必要的服务措施（包括调整）尽快发现、排除、恢复设备的所有软、硬件故障，定期对这些设备进行巡检服务，在保障系统稳定的前提下及时更新系统软件版本和补丁包的升级等</w:t>
      </w:r>
      <w:r>
        <w:rPr>
          <w:rFonts w:hint="eastAsia"/>
        </w:rPr>
        <w:t>。</w:t>
      </w:r>
    </w:p>
    <w:p w14:paraId="6E71ACB6">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3、电话技术支持服务</w:t>
      </w:r>
    </w:p>
    <w:p w14:paraId="45A064AD">
      <w:pPr>
        <w:spacing w:line="460" w:lineRule="exact"/>
        <w:ind w:firstLine="480" w:firstLineChars="200"/>
        <w:rPr>
          <w:rFonts w:hint="eastAsia" w:ascii="宋体" w:hAnsi="宋体" w:cs="宋体"/>
          <w:sz w:val="24"/>
          <w:szCs w:val="24"/>
        </w:rPr>
      </w:pPr>
      <w:r>
        <w:rPr>
          <w:rFonts w:hint="eastAsia" w:ascii="宋体" w:hAnsi="宋体" w:cs="宋体"/>
          <w:sz w:val="24"/>
          <w:szCs w:val="24"/>
        </w:rPr>
        <w:t>1）成交供应商应设立7×24小时的技术支持热线，保证采购人获得日常维护的技术支持，保证采购</w:t>
      </w:r>
      <w:r>
        <w:rPr>
          <w:rFonts w:hint="eastAsia" w:ascii="宋体" w:hAnsi="宋体" w:cs="宋体"/>
          <w:sz w:val="24"/>
          <w:szCs w:val="24"/>
          <w:lang w:eastAsia="zh-CN"/>
        </w:rPr>
        <w:t>人</w:t>
      </w:r>
      <w:r>
        <w:rPr>
          <w:rFonts w:hint="eastAsia" w:ascii="宋体" w:hAnsi="宋体" w:cs="宋体"/>
          <w:sz w:val="24"/>
          <w:szCs w:val="24"/>
        </w:rPr>
        <w:t>技术性问题得到及时、有效的解答。</w:t>
      </w:r>
    </w:p>
    <w:p w14:paraId="2C4E6354">
      <w:pPr>
        <w:spacing w:line="460" w:lineRule="exact"/>
        <w:ind w:firstLine="480" w:firstLineChars="200"/>
        <w:rPr>
          <w:rFonts w:hint="eastAsia" w:ascii="宋体" w:hAnsi="宋体" w:cs="宋体"/>
          <w:sz w:val="24"/>
          <w:szCs w:val="24"/>
        </w:rPr>
      </w:pPr>
      <w:r>
        <w:rPr>
          <w:rFonts w:hint="eastAsia" w:ascii="宋体" w:hAnsi="宋体" w:cs="宋体"/>
          <w:sz w:val="24"/>
          <w:szCs w:val="24"/>
        </w:rPr>
        <w:t>2）成交供应商保证技术支持热线电话95%以上的呼叫接通时间小于30秒；当成交供应商需要查阅相关资料再对采购人的问题进行回复时，应确保在30分钟内回复。</w:t>
      </w:r>
    </w:p>
    <w:p w14:paraId="2E9183D0">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4、现场技术支持服务</w:t>
      </w:r>
    </w:p>
    <w:p w14:paraId="6D6A24D1">
      <w:pPr>
        <w:spacing w:line="460" w:lineRule="exact"/>
        <w:ind w:firstLine="480" w:firstLineChars="200"/>
        <w:rPr>
          <w:rFonts w:hint="eastAsia" w:ascii="宋体" w:hAnsi="宋体" w:cs="宋体"/>
          <w:sz w:val="24"/>
          <w:szCs w:val="24"/>
        </w:rPr>
      </w:pPr>
      <w:r>
        <w:rPr>
          <w:rFonts w:hint="eastAsia" w:ascii="宋体" w:hAnsi="宋体" w:cs="宋体"/>
          <w:sz w:val="24"/>
          <w:szCs w:val="24"/>
        </w:rPr>
        <w:t>对于通过电话支持不能解决的故障，成交供应商应2小时内提供现场支持服务，安排经验丰富的技术支持工程师赴现场分析故障原因，制定故障解决方案，并最终排除故障。</w:t>
      </w:r>
    </w:p>
    <w:p w14:paraId="11D8F5E2">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4.1现场技术服务</w:t>
      </w:r>
    </w:p>
    <w:p w14:paraId="0CDBE747">
      <w:pPr>
        <w:spacing w:line="460" w:lineRule="exact"/>
        <w:ind w:firstLine="480" w:firstLineChars="200"/>
        <w:rPr>
          <w:rFonts w:hint="eastAsia" w:ascii="宋体" w:hAnsi="宋体" w:cs="宋体"/>
          <w:sz w:val="24"/>
          <w:szCs w:val="24"/>
        </w:rPr>
      </w:pPr>
      <w:r>
        <w:rPr>
          <w:rFonts w:hint="eastAsia" w:ascii="宋体" w:hAnsi="宋体" w:cs="宋体"/>
          <w:sz w:val="24"/>
          <w:szCs w:val="24"/>
        </w:rPr>
        <w:t>1）成交供应商在进行现场支持服务前应作好以下准备：</w:t>
      </w:r>
    </w:p>
    <w:p w14:paraId="6F06EC84">
      <w:pPr>
        <w:spacing w:line="460" w:lineRule="exact"/>
        <w:ind w:firstLine="480" w:firstLineChars="200"/>
        <w:rPr>
          <w:rFonts w:hint="eastAsia" w:ascii="宋体" w:hAnsi="宋体" w:cs="宋体"/>
          <w:sz w:val="24"/>
          <w:szCs w:val="24"/>
        </w:rPr>
      </w:pPr>
      <w:r>
        <w:rPr>
          <w:rFonts w:hint="eastAsia" w:ascii="宋体" w:hAnsi="宋体" w:cs="宋体"/>
          <w:sz w:val="24"/>
          <w:szCs w:val="24"/>
        </w:rPr>
        <w:t>①查阅采购</w:t>
      </w:r>
      <w:r>
        <w:rPr>
          <w:rFonts w:hint="eastAsia" w:ascii="宋体" w:hAnsi="宋体" w:cs="宋体"/>
          <w:sz w:val="24"/>
          <w:szCs w:val="24"/>
          <w:lang w:eastAsia="zh-CN"/>
        </w:rPr>
        <w:t>人</w:t>
      </w:r>
      <w:r>
        <w:rPr>
          <w:rFonts w:hint="eastAsia" w:ascii="宋体" w:hAnsi="宋体" w:cs="宋体"/>
          <w:sz w:val="24"/>
          <w:szCs w:val="24"/>
        </w:rPr>
        <w:t>的用户档案，了解用户设备系统运行情况及设备系统以往所发生过的问题及处理办法；</w:t>
      </w:r>
    </w:p>
    <w:p w14:paraId="4F81C20E">
      <w:pPr>
        <w:spacing w:line="460" w:lineRule="exact"/>
        <w:ind w:firstLine="480" w:firstLineChars="200"/>
        <w:rPr>
          <w:rFonts w:hint="eastAsia" w:ascii="宋体" w:hAnsi="宋体" w:cs="宋体"/>
          <w:sz w:val="24"/>
          <w:szCs w:val="24"/>
        </w:rPr>
      </w:pPr>
      <w:r>
        <w:rPr>
          <w:rFonts w:hint="eastAsia" w:ascii="宋体" w:hAnsi="宋体" w:cs="宋体"/>
          <w:sz w:val="24"/>
          <w:szCs w:val="24"/>
        </w:rPr>
        <w:t>②准备技术服务工具、技术服务资料、交通工具、必要的备品备件及软件。成交供应商技术人员抵达采购用户现场，首先提交《技术服务申请》给采购人负责人签字确认。</w:t>
      </w:r>
    </w:p>
    <w:p w14:paraId="16DD1BAC">
      <w:pPr>
        <w:spacing w:line="460" w:lineRule="exact"/>
        <w:ind w:firstLine="480" w:firstLineChars="200"/>
        <w:rPr>
          <w:rFonts w:hint="eastAsia" w:ascii="宋体" w:hAnsi="宋体" w:cs="宋体"/>
          <w:sz w:val="24"/>
          <w:szCs w:val="24"/>
        </w:rPr>
      </w:pPr>
      <w:r>
        <w:rPr>
          <w:rFonts w:hint="eastAsia" w:ascii="宋体" w:hAnsi="宋体" w:cs="宋体"/>
          <w:sz w:val="24"/>
          <w:szCs w:val="24"/>
        </w:rPr>
        <w:t>③了解设备系统运行情况，核实故障现象，并根据故障现象对设备系统进行故障分析、测试、诊断，并制定业务恢复和故障解决技术方案，成交供应商须保证优先实施系统恢复，在恢复系统的前提下，再进行彻底的故障排除。技术方案经采购人批准后，由采购人的技术人员具体实施方案；或在采购人允许下，由成交供应商技术人员进行具体实施。</w:t>
      </w:r>
    </w:p>
    <w:p w14:paraId="6321BAD9">
      <w:pPr>
        <w:spacing w:line="460" w:lineRule="exact"/>
        <w:ind w:firstLine="480" w:firstLineChars="200"/>
        <w:rPr>
          <w:rFonts w:hint="eastAsia" w:ascii="宋体" w:hAnsi="宋体" w:cs="宋体"/>
          <w:sz w:val="24"/>
          <w:szCs w:val="24"/>
        </w:rPr>
      </w:pPr>
      <w:r>
        <w:rPr>
          <w:rFonts w:hint="eastAsia" w:ascii="宋体" w:hAnsi="宋体" w:cs="宋体"/>
          <w:sz w:val="24"/>
          <w:szCs w:val="24"/>
        </w:rPr>
        <w:t>2）成交供应商在处理故障时不能影响到设备系统的正常运行，并应有采购用户维护人员在场协同处理；若因成交供应商误操作或擅自行事等主观原因给采购人带来损失的，采购人有权向成交供应商提出索赔。</w:t>
      </w:r>
    </w:p>
    <w:p w14:paraId="2E95F25C">
      <w:pPr>
        <w:spacing w:line="460" w:lineRule="exact"/>
        <w:ind w:firstLine="480" w:firstLineChars="200"/>
        <w:rPr>
          <w:rFonts w:hint="eastAsia" w:ascii="宋体" w:hAnsi="宋体" w:cs="宋体"/>
          <w:sz w:val="24"/>
          <w:szCs w:val="24"/>
        </w:rPr>
      </w:pPr>
      <w:r>
        <w:rPr>
          <w:rFonts w:hint="eastAsia" w:ascii="宋体" w:hAnsi="宋体" w:cs="宋体"/>
          <w:sz w:val="24"/>
          <w:szCs w:val="24"/>
        </w:rPr>
        <w:t>3）成交供应商在处理故障后，要向采购人解释故障原因和解决方法，以及在日常维护中的预防措施。</w:t>
      </w:r>
    </w:p>
    <w:p w14:paraId="5DEFC1EB">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4）成交供应商在处理故障时，要认真填写《故障处理报告》，并在离开现场前交采购人相关部门签字、存档。同时加入成交供应商的用户故障处理数据库。 </w:t>
      </w:r>
    </w:p>
    <w:p w14:paraId="6E4BF814">
      <w:pPr>
        <w:spacing w:line="460" w:lineRule="exact"/>
        <w:ind w:firstLine="480" w:firstLineChars="200"/>
        <w:rPr>
          <w:rFonts w:hint="eastAsia" w:ascii="宋体" w:hAnsi="宋体" w:cs="宋体"/>
          <w:sz w:val="24"/>
          <w:szCs w:val="24"/>
        </w:rPr>
      </w:pPr>
      <w:r>
        <w:rPr>
          <w:rFonts w:hint="eastAsia" w:ascii="宋体" w:hAnsi="宋体" w:cs="宋体"/>
          <w:sz w:val="24"/>
          <w:szCs w:val="24"/>
        </w:rPr>
        <w:t>5）成交供应商应完全响应下表列出的服务响应时间：</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839"/>
        <w:gridCol w:w="1799"/>
        <w:gridCol w:w="1609"/>
        <w:gridCol w:w="1705"/>
      </w:tblGrid>
      <w:tr w14:paraId="3C44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19D40BE7">
            <w:pPr>
              <w:pStyle w:val="6"/>
              <w:snapToGrid w:val="0"/>
              <w:spacing w:line="460" w:lineRule="exact"/>
              <w:jc w:val="center"/>
              <w:rPr>
                <w:rFonts w:hint="eastAsia" w:ascii="宋体" w:hAnsi="宋体" w:cs="宋体"/>
                <w:b/>
                <w:bCs/>
              </w:rPr>
            </w:pPr>
            <w:r>
              <w:rPr>
                <w:rFonts w:hint="eastAsia" w:ascii="宋体" w:hAnsi="宋体" w:cs="宋体"/>
                <w:b/>
                <w:bCs/>
              </w:rPr>
              <w:t>故障级别</w:t>
            </w:r>
          </w:p>
        </w:tc>
        <w:tc>
          <w:tcPr>
            <w:tcW w:w="1079" w:type="pct"/>
            <w:noWrap w:val="0"/>
            <w:vAlign w:val="center"/>
          </w:tcPr>
          <w:p w14:paraId="3B5C33A7">
            <w:pPr>
              <w:snapToGrid w:val="0"/>
              <w:spacing w:line="460" w:lineRule="exact"/>
              <w:jc w:val="center"/>
              <w:rPr>
                <w:rFonts w:hint="eastAsia" w:ascii="宋体" w:hAnsi="宋体" w:cs="宋体"/>
                <w:b/>
                <w:bCs/>
                <w:sz w:val="24"/>
                <w:szCs w:val="24"/>
              </w:rPr>
            </w:pPr>
            <w:r>
              <w:rPr>
                <w:rFonts w:hint="eastAsia" w:ascii="宋体" w:hAnsi="宋体" w:cs="宋体"/>
                <w:b/>
                <w:bCs/>
                <w:sz w:val="24"/>
                <w:szCs w:val="24"/>
              </w:rPr>
              <w:t>一级故障</w:t>
            </w:r>
          </w:p>
        </w:tc>
        <w:tc>
          <w:tcPr>
            <w:tcW w:w="1055" w:type="pct"/>
            <w:noWrap w:val="0"/>
            <w:vAlign w:val="center"/>
          </w:tcPr>
          <w:p w14:paraId="365FCBF3">
            <w:pPr>
              <w:snapToGrid w:val="0"/>
              <w:spacing w:line="460" w:lineRule="exact"/>
              <w:jc w:val="center"/>
              <w:rPr>
                <w:rFonts w:hint="eastAsia" w:ascii="宋体" w:hAnsi="宋体" w:cs="宋体"/>
                <w:b/>
                <w:bCs/>
                <w:sz w:val="24"/>
                <w:szCs w:val="24"/>
              </w:rPr>
            </w:pPr>
            <w:r>
              <w:rPr>
                <w:rFonts w:hint="eastAsia" w:ascii="宋体" w:hAnsi="宋体" w:cs="宋体"/>
                <w:b/>
                <w:bCs/>
                <w:sz w:val="24"/>
                <w:szCs w:val="24"/>
              </w:rPr>
              <w:t>二级故障</w:t>
            </w:r>
          </w:p>
        </w:tc>
        <w:tc>
          <w:tcPr>
            <w:tcW w:w="944" w:type="pct"/>
            <w:noWrap w:val="0"/>
            <w:vAlign w:val="center"/>
          </w:tcPr>
          <w:p w14:paraId="7B034308">
            <w:pPr>
              <w:snapToGrid w:val="0"/>
              <w:spacing w:line="460" w:lineRule="exact"/>
              <w:jc w:val="center"/>
              <w:rPr>
                <w:rFonts w:hint="eastAsia" w:ascii="宋体" w:hAnsi="宋体" w:cs="宋体"/>
                <w:b/>
                <w:bCs/>
                <w:sz w:val="24"/>
                <w:szCs w:val="24"/>
              </w:rPr>
            </w:pPr>
            <w:r>
              <w:rPr>
                <w:rFonts w:hint="eastAsia" w:ascii="宋体" w:hAnsi="宋体" w:cs="宋体"/>
                <w:b/>
                <w:bCs/>
                <w:sz w:val="24"/>
                <w:szCs w:val="24"/>
              </w:rPr>
              <w:t>三级故障</w:t>
            </w:r>
          </w:p>
        </w:tc>
        <w:tc>
          <w:tcPr>
            <w:tcW w:w="1000" w:type="pct"/>
            <w:noWrap w:val="0"/>
            <w:vAlign w:val="center"/>
          </w:tcPr>
          <w:p w14:paraId="220CAE91">
            <w:pPr>
              <w:snapToGrid w:val="0"/>
              <w:spacing w:line="460" w:lineRule="exact"/>
              <w:jc w:val="center"/>
              <w:rPr>
                <w:rFonts w:hint="eastAsia" w:ascii="宋体" w:hAnsi="宋体" w:cs="宋体"/>
                <w:b/>
                <w:bCs/>
                <w:sz w:val="24"/>
                <w:szCs w:val="24"/>
              </w:rPr>
            </w:pPr>
            <w:r>
              <w:rPr>
                <w:rFonts w:hint="eastAsia" w:ascii="宋体" w:hAnsi="宋体" w:cs="宋体"/>
                <w:b/>
                <w:bCs/>
                <w:sz w:val="24"/>
                <w:szCs w:val="24"/>
              </w:rPr>
              <w:t>四级故障</w:t>
            </w:r>
          </w:p>
        </w:tc>
      </w:tr>
      <w:tr w14:paraId="1526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1E6724B7">
            <w:pPr>
              <w:pStyle w:val="6"/>
              <w:snapToGrid w:val="0"/>
              <w:spacing w:line="460" w:lineRule="exact"/>
              <w:jc w:val="center"/>
              <w:rPr>
                <w:rFonts w:hint="eastAsia" w:ascii="宋体" w:hAnsi="宋体" w:cs="宋体"/>
              </w:rPr>
            </w:pPr>
            <w:r>
              <w:rPr>
                <w:rFonts w:hint="eastAsia" w:ascii="宋体" w:hAnsi="宋体" w:cs="宋体"/>
              </w:rPr>
              <w:t>故障级别定义</w:t>
            </w:r>
          </w:p>
        </w:tc>
        <w:tc>
          <w:tcPr>
            <w:tcW w:w="1079" w:type="pct"/>
            <w:noWrap w:val="0"/>
            <w:vAlign w:val="center"/>
          </w:tcPr>
          <w:p w14:paraId="5EA81541">
            <w:pPr>
              <w:snapToGrid w:val="0"/>
              <w:spacing w:line="460" w:lineRule="exact"/>
              <w:jc w:val="center"/>
              <w:rPr>
                <w:rFonts w:hint="eastAsia" w:ascii="宋体" w:hAnsi="宋体" w:cs="宋体"/>
                <w:sz w:val="24"/>
                <w:szCs w:val="24"/>
              </w:rPr>
            </w:pPr>
            <w:r>
              <w:rPr>
                <w:rFonts w:hint="eastAsia" w:ascii="宋体" w:hAnsi="宋体" w:cs="宋体"/>
                <w:sz w:val="24"/>
                <w:szCs w:val="24"/>
              </w:rPr>
              <w:t>设备在运行中出现整机系统瘫痪或服务中断，导致设备的基本功能不能实现或全面退化的故障</w:t>
            </w:r>
          </w:p>
        </w:tc>
        <w:tc>
          <w:tcPr>
            <w:tcW w:w="1055" w:type="pct"/>
            <w:noWrap w:val="0"/>
            <w:vAlign w:val="center"/>
          </w:tcPr>
          <w:p w14:paraId="3CD97EF5">
            <w:pPr>
              <w:snapToGrid w:val="0"/>
              <w:spacing w:line="460" w:lineRule="exact"/>
              <w:jc w:val="center"/>
              <w:rPr>
                <w:rFonts w:hint="eastAsia" w:ascii="宋体" w:hAnsi="宋体" w:cs="宋体"/>
                <w:sz w:val="24"/>
                <w:szCs w:val="24"/>
              </w:rPr>
            </w:pPr>
            <w:r>
              <w:rPr>
                <w:rFonts w:hint="eastAsia" w:ascii="宋体" w:hAnsi="宋体" w:cs="宋体"/>
                <w:sz w:val="24"/>
                <w:szCs w:val="24"/>
              </w:rPr>
              <w:t>设备在运行中出现的故障具有潜在的系统瘫痪或服务中断的危险，并可能导致设备的基本功能不能实现或全面退化</w:t>
            </w:r>
          </w:p>
        </w:tc>
        <w:tc>
          <w:tcPr>
            <w:tcW w:w="944" w:type="pct"/>
            <w:noWrap w:val="0"/>
            <w:vAlign w:val="center"/>
          </w:tcPr>
          <w:p w14:paraId="6757362C">
            <w:pPr>
              <w:snapToGrid w:val="0"/>
              <w:spacing w:line="460" w:lineRule="exact"/>
              <w:jc w:val="center"/>
              <w:rPr>
                <w:rFonts w:hint="eastAsia" w:ascii="宋体" w:hAnsi="宋体" w:cs="宋体"/>
                <w:sz w:val="24"/>
                <w:szCs w:val="24"/>
              </w:rPr>
            </w:pPr>
            <w:r>
              <w:rPr>
                <w:rFonts w:hint="eastAsia" w:ascii="宋体" w:hAnsi="宋体" w:cs="宋体"/>
                <w:sz w:val="24"/>
                <w:szCs w:val="24"/>
              </w:rPr>
              <w:t>设备在运行中出现影响业务，并导致系统性能或服务部分退化的故障</w:t>
            </w:r>
          </w:p>
        </w:tc>
        <w:tc>
          <w:tcPr>
            <w:tcW w:w="1000" w:type="pct"/>
            <w:noWrap w:val="0"/>
            <w:vAlign w:val="center"/>
          </w:tcPr>
          <w:p w14:paraId="172F8288">
            <w:pPr>
              <w:snapToGrid w:val="0"/>
              <w:spacing w:line="460" w:lineRule="exact"/>
              <w:jc w:val="center"/>
              <w:rPr>
                <w:rFonts w:hint="eastAsia" w:ascii="宋体" w:hAnsi="宋体" w:cs="宋体"/>
                <w:sz w:val="24"/>
                <w:szCs w:val="24"/>
              </w:rPr>
            </w:pPr>
            <w:r>
              <w:rPr>
                <w:rFonts w:hint="eastAsia" w:ascii="宋体" w:hAnsi="宋体" w:cs="宋体"/>
                <w:sz w:val="24"/>
                <w:szCs w:val="24"/>
              </w:rPr>
              <w:t>咨询类问题或设备在运行安装过程中，对产品功能、配置等方面需要的信息和需求，对业务系统几乎无影响</w:t>
            </w:r>
          </w:p>
        </w:tc>
      </w:tr>
      <w:tr w14:paraId="7154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7EC6E1D3">
            <w:pPr>
              <w:pStyle w:val="6"/>
              <w:snapToGrid w:val="0"/>
              <w:spacing w:line="460" w:lineRule="exact"/>
              <w:jc w:val="center"/>
              <w:rPr>
                <w:rFonts w:hint="eastAsia" w:ascii="宋体" w:hAnsi="宋体" w:cs="宋体"/>
              </w:rPr>
            </w:pPr>
            <w:r>
              <w:rPr>
                <w:rFonts w:hint="eastAsia" w:ascii="宋体" w:hAnsi="宋体" w:cs="宋体"/>
              </w:rPr>
              <w:t>抵达现场时限</w:t>
            </w:r>
          </w:p>
        </w:tc>
        <w:tc>
          <w:tcPr>
            <w:tcW w:w="1079" w:type="pct"/>
            <w:noWrap w:val="0"/>
            <w:vAlign w:val="center"/>
          </w:tcPr>
          <w:p w14:paraId="39482514">
            <w:pPr>
              <w:snapToGrid w:val="0"/>
              <w:spacing w:line="460" w:lineRule="exact"/>
              <w:jc w:val="center"/>
              <w:rPr>
                <w:rFonts w:hint="eastAsia" w:ascii="宋体" w:hAnsi="宋体" w:cs="宋体"/>
                <w:sz w:val="24"/>
                <w:szCs w:val="24"/>
              </w:rPr>
            </w:pPr>
            <w:r>
              <w:rPr>
                <w:rFonts w:hint="eastAsia" w:ascii="宋体" w:hAnsi="宋体" w:cs="宋体"/>
                <w:sz w:val="24"/>
                <w:szCs w:val="24"/>
              </w:rPr>
              <w:t>2小时</w:t>
            </w:r>
          </w:p>
        </w:tc>
        <w:tc>
          <w:tcPr>
            <w:tcW w:w="1055" w:type="pct"/>
            <w:noWrap w:val="0"/>
            <w:vAlign w:val="center"/>
          </w:tcPr>
          <w:p w14:paraId="208BF16E">
            <w:pPr>
              <w:snapToGrid w:val="0"/>
              <w:spacing w:line="460" w:lineRule="exact"/>
              <w:jc w:val="center"/>
              <w:rPr>
                <w:rFonts w:hint="eastAsia" w:ascii="宋体" w:hAnsi="宋体" w:cs="宋体"/>
                <w:sz w:val="24"/>
                <w:szCs w:val="24"/>
              </w:rPr>
            </w:pPr>
            <w:r>
              <w:rPr>
                <w:rFonts w:hint="eastAsia" w:ascii="宋体" w:hAnsi="宋体" w:cs="宋体"/>
                <w:sz w:val="24"/>
                <w:szCs w:val="24"/>
              </w:rPr>
              <w:t>2小时</w:t>
            </w:r>
          </w:p>
        </w:tc>
        <w:tc>
          <w:tcPr>
            <w:tcW w:w="944" w:type="pct"/>
            <w:noWrap w:val="0"/>
            <w:vAlign w:val="center"/>
          </w:tcPr>
          <w:p w14:paraId="2AA1D347">
            <w:pPr>
              <w:snapToGrid w:val="0"/>
              <w:spacing w:line="460" w:lineRule="exact"/>
              <w:jc w:val="center"/>
              <w:rPr>
                <w:rFonts w:hint="eastAsia" w:ascii="宋体" w:hAnsi="宋体" w:cs="宋体"/>
                <w:sz w:val="24"/>
                <w:szCs w:val="24"/>
              </w:rPr>
            </w:pPr>
            <w:r>
              <w:rPr>
                <w:rFonts w:hint="eastAsia" w:ascii="宋体" w:hAnsi="宋体" w:cs="宋体"/>
                <w:sz w:val="24"/>
                <w:szCs w:val="24"/>
              </w:rPr>
              <w:t>2小时</w:t>
            </w:r>
          </w:p>
        </w:tc>
        <w:tc>
          <w:tcPr>
            <w:tcW w:w="1000" w:type="pct"/>
            <w:noWrap w:val="0"/>
            <w:vAlign w:val="center"/>
          </w:tcPr>
          <w:p w14:paraId="2FE5CE59">
            <w:pPr>
              <w:snapToGrid w:val="0"/>
              <w:spacing w:line="460" w:lineRule="exact"/>
              <w:jc w:val="center"/>
              <w:rPr>
                <w:rFonts w:hint="eastAsia" w:ascii="宋体" w:hAnsi="宋体" w:cs="宋体"/>
                <w:sz w:val="24"/>
                <w:szCs w:val="24"/>
              </w:rPr>
            </w:pPr>
            <w:r>
              <w:rPr>
                <w:rFonts w:hint="eastAsia" w:ascii="宋体" w:hAnsi="宋体" w:cs="宋体"/>
                <w:sz w:val="24"/>
                <w:szCs w:val="24"/>
              </w:rPr>
              <w:t>2小时</w:t>
            </w:r>
          </w:p>
        </w:tc>
      </w:tr>
      <w:tr w14:paraId="6B892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5FCBFF9E">
            <w:pPr>
              <w:pStyle w:val="6"/>
              <w:snapToGrid w:val="0"/>
              <w:spacing w:line="460" w:lineRule="exact"/>
              <w:jc w:val="center"/>
              <w:rPr>
                <w:rFonts w:hint="eastAsia" w:ascii="宋体" w:hAnsi="宋体" w:cs="宋体"/>
              </w:rPr>
            </w:pPr>
            <w:r>
              <w:rPr>
                <w:rFonts w:hint="eastAsia" w:ascii="宋体" w:hAnsi="宋体" w:cs="宋体"/>
              </w:rPr>
              <w:t>故障恢复时限</w:t>
            </w:r>
          </w:p>
        </w:tc>
        <w:tc>
          <w:tcPr>
            <w:tcW w:w="1079" w:type="pct"/>
            <w:noWrap w:val="0"/>
            <w:vAlign w:val="center"/>
          </w:tcPr>
          <w:p w14:paraId="7FC9DC2E">
            <w:pPr>
              <w:snapToGrid w:val="0"/>
              <w:spacing w:line="460" w:lineRule="exact"/>
              <w:jc w:val="center"/>
              <w:rPr>
                <w:rFonts w:hint="eastAsia" w:ascii="宋体" w:hAnsi="宋体" w:cs="宋体"/>
                <w:sz w:val="24"/>
                <w:szCs w:val="24"/>
              </w:rPr>
            </w:pPr>
            <w:r>
              <w:rPr>
                <w:rFonts w:hint="eastAsia" w:ascii="宋体" w:hAnsi="宋体" w:cs="宋体"/>
                <w:sz w:val="24"/>
                <w:szCs w:val="24"/>
              </w:rPr>
              <w:t>2小时</w:t>
            </w:r>
          </w:p>
        </w:tc>
        <w:tc>
          <w:tcPr>
            <w:tcW w:w="1055" w:type="pct"/>
            <w:noWrap w:val="0"/>
            <w:vAlign w:val="center"/>
          </w:tcPr>
          <w:p w14:paraId="7B24CD76">
            <w:pPr>
              <w:snapToGrid w:val="0"/>
              <w:spacing w:line="460" w:lineRule="exact"/>
              <w:jc w:val="center"/>
              <w:rPr>
                <w:rFonts w:hint="eastAsia" w:ascii="宋体" w:hAnsi="宋体" w:cs="宋体"/>
                <w:sz w:val="24"/>
                <w:szCs w:val="24"/>
              </w:rPr>
            </w:pPr>
            <w:r>
              <w:rPr>
                <w:rFonts w:hint="eastAsia" w:ascii="宋体" w:hAnsi="宋体" w:cs="宋体"/>
                <w:sz w:val="24"/>
                <w:szCs w:val="24"/>
              </w:rPr>
              <w:t>4小时</w:t>
            </w:r>
          </w:p>
        </w:tc>
        <w:tc>
          <w:tcPr>
            <w:tcW w:w="944" w:type="pct"/>
            <w:noWrap w:val="0"/>
            <w:vAlign w:val="center"/>
          </w:tcPr>
          <w:p w14:paraId="0A7D5C64">
            <w:pPr>
              <w:snapToGrid w:val="0"/>
              <w:spacing w:line="460" w:lineRule="exact"/>
              <w:jc w:val="center"/>
              <w:rPr>
                <w:rFonts w:hint="eastAsia" w:ascii="宋体" w:hAnsi="宋体" w:cs="宋体"/>
                <w:sz w:val="24"/>
                <w:szCs w:val="24"/>
              </w:rPr>
            </w:pPr>
            <w:r>
              <w:rPr>
                <w:rFonts w:hint="eastAsia" w:ascii="宋体" w:hAnsi="宋体" w:cs="宋体"/>
                <w:sz w:val="24"/>
                <w:szCs w:val="24"/>
              </w:rPr>
              <w:t>8小时</w:t>
            </w:r>
          </w:p>
        </w:tc>
        <w:tc>
          <w:tcPr>
            <w:tcW w:w="1000" w:type="pct"/>
            <w:noWrap w:val="0"/>
            <w:vAlign w:val="center"/>
          </w:tcPr>
          <w:p w14:paraId="06F62D80">
            <w:pPr>
              <w:snapToGrid w:val="0"/>
              <w:spacing w:line="460" w:lineRule="exact"/>
              <w:jc w:val="center"/>
              <w:rPr>
                <w:rFonts w:hint="eastAsia" w:ascii="宋体" w:hAnsi="宋体" w:cs="宋体"/>
                <w:sz w:val="24"/>
                <w:szCs w:val="24"/>
              </w:rPr>
            </w:pPr>
            <w:r>
              <w:rPr>
                <w:rFonts w:hint="eastAsia" w:ascii="宋体" w:hAnsi="宋体" w:cs="宋体"/>
                <w:sz w:val="24"/>
                <w:szCs w:val="24"/>
              </w:rPr>
              <w:t>\</w:t>
            </w:r>
          </w:p>
        </w:tc>
      </w:tr>
      <w:tr w14:paraId="3B62E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523E0785">
            <w:pPr>
              <w:pStyle w:val="6"/>
              <w:snapToGrid w:val="0"/>
              <w:spacing w:line="460" w:lineRule="exact"/>
              <w:jc w:val="center"/>
              <w:rPr>
                <w:rFonts w:hint="eastAsia" w:ascii="宋体" w:hAnsi="宋体" w:cs="宋体"/>
              </w:rPr>
            </w:pPr>
            <w:r>
              <w:rPr>
                <w:rFonts w:hint="eastAsia" w:ascii="宋体" w:hAnsi="宋体" w:cs="宋体"/>
              </w:rPr>
              <w:t>排除软故障时限</w:t>
            </w:r>
          </w:p>
        </w:tc>
        <w:tc>
          <w:tcPr>
            <w:tcW w:w="1079" w:type="pct"/>
            <w:noWrap w:val="0"/>
            <w:vAlign w:val="center"/>
          </w:tcPr>
          <w:p w14:paraId="54150338">
            <w:pPr>
              <w:snapToGrid w:val="0"/>
              <w:spacing w:line="460" w:lineRule="exact"/>
              <w:jc w:val="center"/>
              <w:rPr>
                <w:rFonts w:hint="eastAsia" w:ascii="宋体" w:hAnsi="宋体" w:cs="宋体"/>
                <w:sz w:val="24"/>
                <w:szCs w:val="24"/>
              </w:rPr>
            </w:pPr>
            <w:r>
              <w:rPr>
                <w:rFonts w:hint="eastAsia" w:ascii="宋体" w:hAnsi="宋体" w:cs="宋体"/>
                <w:sz w:val="24"/>
                <w:szCs w:val="24"/>
              </w:rPr>
              <w:t>抵达现场后2小时</w:t>
            </w:r>
          </w:p>
        </w:tc>
        <w:tc>
          <w:tcPr>
            <w:tcW w:w="1055" w:type="pct"/>
            <w:noWrap w:val="0"/>
            <w:vAlign w:val="center"/>
          </w:tcPr>
          <w:p w14:paraId="2E08C900">
            <w:pPr>
              <w:snapToGrid w:val="0"/>
              <w:spacing w:line="460" w:lineRule="exact"/>
              <w:jc w:val="center"/>
              <w:rPr>
                <w:rFonts w:hint="eastAsia" w:ascii="宋体" w:hAnsi="宋体" w:cs="宋体"/>
                <w:sz w:val="24"/>
                <w:szCs w:val="24"/>
              </w:rPr>
            </w:pPr>
            <w:r>
              <w:rPr>
                <w:rFonts w:hint="eastAsia" w:ascii="宋体" w:hAnsi="宋体" w:cs="宋体"/>
                <w:sz w:val="24"/>
                <w:szCs w:val="24"/>
              </w:rPr>
              <w:t>抵达现场后4小时</w:t>
            </w:r>
          </w:p>
        </w:tc>
        <w:tc>
          <w:tcPr>
            <w:tcW w:w="944" w:type="pct"/>
            <w:noWrap w:val="0"/>
            <w:vAlign w:val="center"/>
          </w:tcPr>
          <w:p w14:paraId="1A302DE3">
            <w:pPr>
              <w:snapToGrid w:val="0"/>
              <w:spacing w:line="460" w:lineRule="exact"/>
              <w:jc w:val="center"/>
              <w:rPr>
                <w:rFonts w:hint="eastAsia" w:ascii="宋体" w:hAnsi="宋体" w:cs="宋体"/>
                <w:sz w:val="24"/>
                <w:szCs w:val="24"/>
              </w:rPr>
            </w:pPr>
            <w:r>
              <w:rPr>
                <w:rFonts w:hint="eastAsia" w:ascii="宋体" w:hAnsi="宋体" w:cs="宋体"/>
                <w:sz w:val="24"/>
                <w:szCs w:val="24"/>
              </w:rPr>
              <w:t>抵达现场后8小时</w:t>
            </w:r>
          </w:p>
        </w:tc>
        <w:tc>
          <w:tcPr>
            <w:tcW w:w="1000" w:type="pct"/>
            <w:noWrap w:val="0"/>
            <w:vAlign w:val="center"/>
          </w:tcPr>
          <w:p w14:paraId="25F22561">
            <w:pPr>
              <w:snapToGrid w:val="0"/>
              <w:spacing w:line="460" w:lineRule="exact"/>
              <w:jc w:val="center"/>
              <w:rPr>
                <w:rFonts w:hint="eastAsia" w:ascii="宋体" w:hAnsi="宋体" w:cs="宋体"/>
                <w:sz w:val="24"/>
                <w:szCs w:val="24"/>
              </w:rPr>
            </w:pPr>
            <w:r>
              <w:rPr>
                <w:rFonts w:hint="eastAsia" w:ascii="宋体" w:hAnsi="宋体" w:cs="宋体"/>
                <w:sz w:val="24"/>
                <w:szCs w:val="24"/>
              </w:rPr>
              <w:t>\</w:t>
            </w:r>
          </w:p>
        </w:tc>
      </w:tr>
      <w:tr w14:paraId="1618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pct"/>
            <w:noWrap w:val="0"/>
            <w:vAlign w:val="center"/>
          </w:tcPr>
          <w:p w14:paraId="19A6BED7">
            <w:pPr>
              <w:pStyle w:val="6"/>
              <w:snapToGrid w:val="0"/>
              <w:spacing w:line="460" w:lineRule="exact"/>
              <w:jc w:val="center"/>
              <w:rPr>
                <w:rFonts w:hint="eastAsia" w:ascii="宋体" w:hAnsi="宋体" w:cs="宋体"/>
              </w:rPr>
            </w:pPr>
            <w:r>
              <w:rPr>
                <w:rFonts w:hint="eastAsia" w:ascii="宋体" w:hAnsi="宋体" w:cs="宋体"/>
              </w:rPr>
              <w:t>排除硬故障时限</w:t>
            </w:r>
          </w:p>
        </w:tc>
        <w:tc>
          <w:tcPr>
            <w:tcW w:w="1079" w:type="pct"/>
            <w:noWrap w:val="0"/>
            <w:vAlign w:val="center"/>
          </w:tcPr>
          <w:p w14:paraId="573B94CB">
            <w:pPr>
              <w:snapToGrid w:val="0"/>
              <w:spacing w:line="460" w:lineRule="exact"/>
              <w:jc w:val="center"/>
              <w:rPr>
                <w:rFonts w:hint="eastAsia" w:ascii="宋体" w:hAnsi="宋体" w:cs="宋体"/>
                <w:sz w:val="24"/>
                <w:szCs w:val="24"/>
              </w:rPr>
            </w:pPr>
            <w:r>
              <w:rPr>
                <w:rFonts w:hint="eastAsia" w:ascii="宋体" w:hAnsi="宋体" w:cs="宋体"/>
                <w:sz w:val="24"/>
                <w:szCs w:val="24"/>
              </w:rPr>
              <w:t>48小时</w:t>
            </w:r>
          </w:p>
        </w:tc>
        <w:tc>
          <w:tcPr>
            <w:tcW w:w="1055" w:type="pct"/>
            <w:noWrap w:val="0"/>
            <w:vAlign w:val="center"/>
          </w:tcPr>
          <w:p w14:paraId="775E8DFC">
            <w:pPr>
              <w:snapToGrid w:val="0"/>
              <w:spacing w:line="460" w:lineRule="exact"/>
              <w:jc w:val="center"/>
              <w:rPr>
                <w:rFonts w:hint="eastAsia" w:ascii="宋体" w:hAnsi="宋体" w:cs="宋体"/>
                <w:sz w:val="24"/>
                <w:szCs w:val="24"/>
              </w:rPr>
            </w:pPr>
            <w:r>
              <w:rPr>
                <w:rFonts w:hint="eastAsia" w:ascii="宋体" w:hAnsi="宋体" w:cs="宋体"/>
                <w:sz w:val="24"/>
                <w:szCs w:val="24"/>
              </w:rPr>
              <w:t>48小时</w:t>
            </w:r>
          </w:p>
        </w:tc>
        <w:tc>
          <w:tcPr>
            <w:tcW w:w="944" w:type="pct"/>
            <w:noWrap w:val="0"/>
            <w:vAlign w:val="center"/>
          </w:tcPr>
          <w:p w14:paraId="45942187">
            <w:pPr>
              <w:snapToGrid w:val="0"/>
              <w:spacing w:line="460" w:lineRule="exact"/>
              <w:jc w:val="center"/>
              <w:rPr>
                <w:rFonts w:hint="eastAsia" w:ascii="宋体" w:hAnsi="宋体" w:cs="宋体"/>
                <w:sz w:val="24"/>
                <w:szCs w:val="24"/>
              </w:rPr>
            </w:pPr>
            <w:r>
              <w:rPr>
                <w:rFonts w:hint="eastAsia" w:ascii="宋体" w:hAnsi="宋体" w:cs="宋体"/>
                <w:sz w:val="24"/>
                <w:szCs w:val="24"/>
              </w:rPr>
              <w:t>48小时</w:t>
            </w:r>
          </w:p>
        </w:tc>
        <w:tc>
          <w:tcPr>
            <w:tcW w:w="1000" w:type="pct"/>
            <w:noWrap w:val="0"/>
            <w:vAlign w:val="center"/>
          </w:tcPr>
          <w:p w14:paraId="4D4BB010">
            <w:pPr>
              <w:snapToGrid w:val="0"/>
              <w:spacing w:line="460" w:lineRule="exact"/>
              <w:jc w:val="center"/>
              <w:rPr>
                <w:rFonts w:hint="eastAsia" w:ascii="宋体" w:hAnsi="宋体" w:cs="宋体"/>
                <w:sz w:val="24"/>
                <w:szCs w:val="24"/>
              </w:rPr>
            </w:pPr>
            <w:r>
              <w:rPr>
                <w:rFonts w:hint="eastAsia" w:ascii="宋体" w:hAnsi="宋体" w:cs="宋体"/>
                <w:sz w:val="24"/>
                <w:szCs w:val="24"/>
              </w:rPr>
              <w:t>\</w:t>
            </w:r>
          </w:p>
        </w:tc>
      </w:tr>
    </w:tbl>
    <w:p w14:paraId="7F2DD468">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4.2现场巡检服务</w:t>
      </w:r>
    </w:p>
    <w:p w14:paraId="5A2BB9B3">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1）成交供应商须为采购人的运维设备提供巡检服务，每个季度对运维设备进行必要的巡检，执行适当的系统巡检步骤，收集各系统信息，分析运行状况，及时发现运行中存在的隐患，减少设备发生故障的概率，保证设备稳定、高效运行。 </w:t>
      </w:r>
    </w:p>
    <w:p w14:paraId="138C1185">
      <w:pPr>
        <w:spacing w:line="460" w:lineRule="exact"/>
        <w:ind w:firstLine="480" w:firstLineChars="200"/>
        <w:rPr>
          <w:rFonts w:hint="eastAsia" w:ascii="宋体" w:hAnsi="宋体" w:cs="宋体"/>
          <w:sz w:val="24"/>
          <w:szCs w:val="24"/>
        </w:rPr>
      </w:pPr>
      <w:r>
        <w:rPr>
          <w:rFonts w:hint="eastAsia" w:ascii="宋体" w:hAnsi="宋体" w:cs="宋体"/>
          <w:sz w:val="24"/>
          <w:szCs w:val="24"/>
        </w:rPr>
        <w:t>2）完成现场季度巡检后，采购人需配合成交供应商工程师填写现场巡检记录表。</w:t>
      </w:r>
    </w:p>
    <w:p w14:paraId="5C1B7083">
      <w:pPr>
        <w:spacing w:line="460" w:lineRule="exact"/>
        <w:ind w:firstLine="480" w:firstLineChars="200"/>
        <w:rPr>
          <w:rFonts w:hint="eastAsia" w:ascii="宋体" w:hAnsi="宋体" w:cs="宋体"/>
          <w:sz w:val="24"/>
          <w:szCs w:val="24"/>
        </w:rPr>
      </w:pPr>
      <w:r>
        <w:rPr>
          <w:rFonts w:hint="eastAsia" w:ascii="宋体" w:hAnsi="宋体" w:cs="宋体"/>
          <w:sz w:val="24"/>
          <w:szCs w:val="24"/>
        </w:rPr>
        <w:t>3）成交供应商每季度向采购人提交现场巡检报告。</w:t>
      </w:r>
    </w:p>
    <w:p w14:paraId="048C3CBB">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4.3技术资料服务</w:t>
      </w:r>
    </w:p>
    <w:p w14:paraId="06FE8CDC">
      <w:pPr>
        <w:spacing w:line="460" w:lineRule="exact"/>
        <w:ind w:firstLine="480" w:firstLineChars="200"/>
        <w:rPr>
          <w:rFonts w:hint="eastAsia" w:ascii="宋体" w:hAnsi="宋体" w:cs="宋体"/>
          <w:sz w:val="24"/>
          <w:szCs w:val="24"/>
        </w:rPr>
      </w:pPr>
      <w:r>
        <w:rPr>
          <w:rFonts w:hint="eastAsia" w:ascii="宋体" w:hAnsi="宋体" w:cs="宋体"/>
          <w:sz w:val="24"/>
          <w:szCs w:val="24"/>
        </w:rPr>
        <w:t>成交供应商为采购人提供有关产品知识、操作手册和设备系统运行维护经验的技术文档。</w:t>
      </w:r>
    </w:p>
    <w:p w14:paraId="0F56C43E">
      <w:pPr>
        <w:spacing w:line="460" w:lineRule="exact"/>
        <w:ind w:firstLine="480" w:firstLineChars="200"/>
        <w:rPr>
          <w:rFonts w:hint="eastAsia" w:ascii="宋体" w:hAnsi="宋体" w:cs="宋体"/>
          <w:sz w:val="24"/>
          <w:szCs w:val="24"/>
        </w:rPr>
      </w:pPr>
    </w:p>
    <w:p w14:paraId="6AA2AF69">
      <w:pPr>
        <w:spacing w:line="460" w:lineRule="exact"/>
        <w:ind w:firstLine="480" w:firstLineChars="200"/>
        <w:rPr>
          <w:rFonts w:hint="eastAsia" w:ascii="宋体" w:hAnsi="宋体" w:cs="宋体"/>
          <w:sz w:val="24"/>
          <w:szCs w:val="24"/>
        </w:rPr>
      </w:pPr>
    </w:p>
    <w:p w14:paraId="718148E8">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（四）运维人员配置要求</w:t>
      </w:r>
    </w:p>
    <w:p w14:paraId="3CE3971A">
      <w:pPr>
        <w:spacing w:line="460" w:lineRule="exact"/>
        <w:ind w:firstLine="480" w:firstLineChars="200"/>
        <w:rPr>
          <w:rFonts w:hint="eastAsia" w:ascii="宋体" w:hAnsi="宋体" w:cs="宋体"/>
          <w:sz w:val="24"/>
          <w:szCs w:val="24"/>
        </w:rPr>
      </w:pPr>
      <w:r>
        <w:rPr>
          <w:rFonts w:hint="eastAsia" w:ascii="宋体" w:hAnsi="宋体" w:cs="宋体"/>
          <w:sz w:val="24"/>
          <w:szCs w:val="24"/>
        </w:rPr>
        <w:t>1）成交供应商服务团队中需要针对此项目指定项目经理和后台技术服务团队，成交供应商应根据本项目具体情况详细描述项目人员分工：</w:t>
      </w:r>
    </w:p>
    <w:p w14:paraId="33834FDE">
      <w:pPr>
        <w:spacing w:line="460" w:lineRule="exact"/>
        <w:ind w:firstLine="480" w:firstLineChars="200"/>
        <w:rPr>
          <w:rFonts w:hint="eastAsia" w:ascii="宋体" w:hAnsi="宋体" w:cs="宋体"/>
          <w:sz w:val="24"/>
          <w:szCs w:val="24"/>
        </w:rPr>
      </w:pPr>
      <w:r>
        <w:rPr>
          <w:rFonts w:hint="eastAsia" w:ascii="宋体" w:hAnsi="宋体" w:cs="宋体"/>
          <w:sz w:val="24"/>
          <w:szCs w:val="24"/>
        </w:rPr>
        <w:t>①项目经理：必须指派一名具有丰富 IT 从业经验的人员作为本项目的项目经理，全程参与该项目，负责项目实施过程中的总体协调资源调度工作；</w:t>
      </w:r>
    </w:p>
    <w:p w14:paraId="40A20EE2">
      <w:pPr>
        <w:spacing w:line="460" w:lineRule="exact"/>
        <w:ind w:firstLine="480" w:firstLineChars="200"/>
        <w:rPr>
          <w:rFonts w:hint="eastAsia" w:ascii="宋体" w:hAnsi="宋体" w:cs="宋体"/>
          <w:sz w:val="24"/>
          <w:szCs w:val="24"/>
        </w:rPr>
      </w:pPr>
      <w:r>
        <w:rPr>
          <w:rFonts w:hint="eastAsia" w:ascii="宋体" w:hAnsi="宋体" w:cs="宋体"/>
          <w:sz w:val="24"/>
          <w:szCs w:val="24"/>
        </w:rPr>
        <w:t>②后台技术服务团队：项目后台技术服务团队人员不得少于8人，包含但不限于网络工程师、系统工程师、信息安全工程师等，且具备相应的资质水平。</w:t>
      </w:r>
    </w:p>
    <w:p w14:paraId="21A4C14E">
      <w:pPr>
        <w:spacing w:line="460" w:lineRule="exact"/>
        <w:ind w:firstLine="482" w:firstLineChars="200"/>
        <w:rPr>
          <w:rFonts w:hint="eastAsia" w:ascii="宋体" w:hAnsi="宋体" w:cs="宋体"/>
          <w:b/>
          <w:bCs/>
          <w:sz w:val="24"/>
          <w:szCs w:val="24"/>
        </w:rPr>
      </w:pPr>
      <w:r>
        <w:rPr>
          <w:rFonts w:hint="eastAsia" w:ascii="宋体" w:hAnsi="宋体" w:cs="宋体"/>
          <w:b/>
          <w:bCs/>
          <w:sz w:val="24"/>
          <w:szCs w:val="24"/>
        </w:rPr>
        <w:t>备注：响应文件中需提供运维人员清单及人员履历。</w:t>
      </w:r>
    </w:p>
    <w:p w14:paraId="281EB927">
      <w:pPr>
        <w:spacing w:line="460" w:lineRule="exact"/>
        <w:ind w:firstLine="480" w:firstLineChars="200"/>
        <w:rPr>
          <w:rFonts w:hint="eastAsia" w:ascii="宋体" w:hAnsi="宋体" w:cs="宋体"/>
          <w:sz w:val="24"/>
          <w:szCs w:val="24"/>
        </w:rPr>
      </w:pPr>
      <w:r>
        <w:rPr>
          <w:rFonts w:hint="eastAsia" w:ascii="宋体" w:hAnsi="宋体" w:cs="宋体"/>
          <w:sz w:val="24"/>
          <w:szCs w:val="24"/>
        </w:rPr>
        <w:t>2）成交后，与采购人签订合同时以响应文件人员名单为准，后期不得随意更换，更换需征求采购人意见。</w:t>
      </w:r>
    </w:p>
    <w:p w14:paraId="3BF1C410">
      <w:pPr>
        <w:pStyle w:val="3"/>
        <w:rPr>
          <w:rFonts w:hint="eastAsia" w:ascii="宋体" w:hAnsi="宋体"/>
          <w:b/>
          <w:sz w:val="24"/>
        </w:rPr>
      </w:pPr>
    </w:p>
    <w:p w14:paraId="11EC4327">
      <w:r>
        <w:rPr>
          <w:rFonts w:hint="eastAsia" w:ascii="宋体" w:hAnsi="宋体"/>
          <w:b/>
          <w:sz w:val="24"/>
        </w:rPr>
        <w:t>注：以上“技术要求”为实质性要求，必须完全满足，否则响应无效。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40505BF0"/>
    <w:rsid w:val="4050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2024-09-09T12:09:00Z</dcterms:created>
  <dc:creator>包泽宁</dc:creator>
  <cp:lastModifiedBy>包泽宁</cp:lastModifiedBy>
  <dcterms:modified xsi:type="dcterms:W3CDTF">2024-09-09T12:09:10Z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5D0EED887E9649BEAEC4717F9FE4FA50_11</vt:lpwstr>
  </property>
</Properties>
</file>