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简体" w:hAnsi="方正小标宋简体" w:eastAsia="方正小标宋简体" w:cs="Arial"/>
          <w:b w:val="0"/>
          <w:bCs w:val="0"/>
          <w:color w:val="auto"/>
          <w:spacing w:val="0"/>
          <w:sz w:val="40"/>
          <w:szCs w:val="40"/>
          <w:lang w:eastAsia="zh-CN"/>
        </w:rPr>
      </w:pPr>
      <w:bookmarkStart w:id="0" w:name="_Toc24956"/>
      <w:bookmarkStart w:id="1" w:name="_Toc22936"/>
      <w:r>
        <w:rPr>
          <w:rFonts w:hint="eastAsia" w:ascii="方正小标宋简体" w:hAnsi="方正小标宋简体" w:eastAsia="方正小标宋简体" w:cs="Arial"/>
          <w:b w:val="0"/>
          <w:bCs w:val="0"/>
          <w:color w:val="auto"/>
          <w:spacing w:val="0"/>
          <w:sz w:val="40"/>
          <w:szCs w:val="40"/>
          <w:lang w:eastAsia="zh-CN"/>
        </w:rPr>
        <w:t>南昌医学院中医教学大数据平台项目项目信息</w:t>
      </w:r>
    </w:p>
    <w:p>
      <w:pPr>
        <w:keepNext/>
        <w:keepLines/>
        <w:pageBreakBefore w:val="0"/>
        <w:widowControl/>
        <w:kinsoku/>
        <w:wordWrap/>
        <w:overflowPunct/>
        <w:topLinePunct w:val="0"/>
        <w:autoSpaceDE w:val="0"/>
        <w:autoSpaceDN w:val="0"/>
        <w:bidi w:val="0"/>
        <w:adjustRightInd w:val="0"/>
        <w:snapToGrid w:val="0"/>
        <w:textAlignment w:val="baseline"/>
        <w:outlineLvl w:val="9"/>
        <w:rPr>
          <w:rFonts w:hint="eastAsia"/>
          <w:b w:val="0"/>
          <w:bCs w:val="0"/>
          <w:color w:val="auto"/>
          <w:lang w:val="en-US" w:eastAsia="zh-CN"/>
        </w:rPr>
      </w:pPr>
      <w:bookmarkStart w:id="16" w:name="_GoBack"/>
      <w:bookmarkEnd w:id="16"/>
    </w:p>
    <w:p>
      <w:pPr>
        <w:pStyle w:val="3"/>
        <w:rPr>
          <w:b/>
          <w:bCs/>
          <w:color w:val="auto"/>
          <w:lang w:eastAsia="zh-CN"/>
        </w:rPr>
      </w:pPr>
      <w:r>
        <w:rPr>
          <w:rFonts w:hint="eastAsia"/>
          <w:b/>
          <w:bCs/>
          <w:color w:val="auto"/>
          <w:lang w:val="en-US" w:eastAsia="zh-CN"/>
        </w:rPr>
        <w:t>一、</w:t>
      </w:r>
      <w:r>
        <w:rPr>
          <w:rFonts w:hint="eastAsia"/>
          <w:b/>
          <w:bCs/>
          <w:color w:val="auto"/>
          <w:lang w:eastAsia="zh-CN"/>
        </w:rPr>
        <w:t>项目基本情况</w:t>
      </w:r>
      <w:bookmarkEnd w:id="0"/>
      <w:bookmarkEnd w:id="1"/>
    </w:p>
    <w:p>
      <w:pPr>
        <w:widowControl w:val="0"/>
        <w:kinsoku/>
        <w:wordWrap w:val="0"/>
        <w:spacing w:line="460" w:lineRule="exact"/>
        <w:ind w:firstLine="452" w:firstLineChars="200"/>
        <w:rPr>
          <w:rFonts w:hint="eastAsia" w:ascii="宋体" w:hAnsi="宋体"/>
          <w:b w:val="0"/>
          <w:bCs w:val="0"/>
          <w:color w:val="auto"/>
          <w:spacing w:val="-7"/>
          <w:lang w:eastAsia="zh-CN"/>
        </w:rPr>
      </w:pPr>
      <w:r>
        <w:rPr>
          <w:rFonts w:hint="eastAsia" w:ascii="宋体" w:hAnsi="宋体"/>
          <w:b w:val="0"/>
          <w:bCs w:val="0"/>
          <w:color w:val="auto"/>
          <w:spacing w:val="-7"/>
          <w:lang w:eastAsia="zh-CN"/>
        </w:rPr>
        <w:t>项目名称：南昌医学院中医教学大数据平台项目</w:t>
      </w:r>
    </w:p>
    <w:p>
      <w:pPr>
        <w:widowControl w:val="0"/>
        <w:kinsoku/>
        <w:wordWrap w:val="0"/>
        <w:spacing w:line="460" w:lineRule="exact"/>
        <w:ind w:firstLine="452" w:firstLineChars="200"/>
        <w:rPr>
          <w:rFonts w:hint="default" w:ascii="宋体" w:hAnsi="宋体"/>
          <w:b w:val="0"/>
          <w:bCs w:val="0"/>
          <w:color w:val="auto"/>
          <w:spacing w:val="-7"/>
          <w:lang w:val="en-US" w:eastAsia="zh-CN"/>
        </w:rPr>
      </w:pPr>
      <w:r>
        <w:rPr>
          <w:rFonts w:hint="eastAsia" w:ascii="宋体" w:hAnsi="宋体"/>
          <w:b w:val="0"/>
          <w:bCs w:val="0"/>
          <w:color w:val="auto"/>
          <w:spacing w:val="-7"/>
          <w:lang w:eastAsia="zh-CN"/>
        </w:rPr>
        <w:t>采购方式：</w:t>
      </w:r>
      <w:r>
        <w:rPr>
          <w:rFonts w:hint="eastAsia" w:ascii="宋体" w:hAnsi="宋体"/>
          <w:b w:val="0"/>
          <w:bCs w:val="0"/>
          <w:color w:val="auto"/>
          <w:spacing w:val="-7"/>
          <w:lang w:val="en-US" w:eastAsia="zh-CN"/>
        </w:rPr>
        <w:t>竞争性磋商</w:t>
      </w:r>
    </w:p>
    <w:p>
      <w:pPr>
        <w:widowControl w:val="0"/>
        <w:kinsoku/>
        <w:wordWrap w:val="0"/>
        <w:spacing w:line="460" w:lineRule="exact"/>
        <w:ind w:firstLine="460" w:firstLineChars="200"/>
        <w:rPr>
          <w:rFonts w:hint="eastAsia" w:ascii="宋体" w:hAnsi="宋体"/>
          <w:b w:val="0"/>
          <w:bCs w:val="0"/>
          <w:color w:val="auto"/>
          <w:spacing w:val="-5"/>
        </w:rPr>
      </w:pPr>
      <w:r>
        <w:rPr>
          <w:rFonts w:hint="eastAsia" w:ascii="宋体" w:hAnsi="宋体"/>
          <w:b w:val="0"/>
          <w:bCs w:val="0"/>
          <w:color w:val="auto"/>
          <w:spacing w:val="-5"/>
        </w:rPr>
        <w:t>合同履行期限：</w:t>
      </w:r>
      <w:r>
        <w:rPr>
          <w:rFonts w:hint="eastAsia" w:ascii="宋体" w:hAnsi="宋体"/>
          <w:b w:val="0"/>
          <w:bCs w:val="0"/>
          <w:color w:val="auto"/>
          <w:spacing w:val="-5"/>
          <w:lang w:val="en-US" w:eastAsia="zh-CN"/>
        </w:rPr>
        <w:t>签订合同后7个工作日内交付使用，服务期从合同签订生效之日起1年。</w:t>
      </w:r>
    </w:p>
    <w:p>
      <w:pPr>
        <w:widowControl w:val="0"/>
        <w:kinsoku/>
        <w:wordWrap w:val="0"/>
        <w:spacing w:line="460" w:lineRule="exact"/>
        <w:ind w:firstLine="460" w:firstLineChars="200"/>
        <w:rPr>
          <w:rFonts w:hint="eastAsia" w:ascii="宋体" w:hAnsi="宋体"/>
          <w:b w:val="0"/>
          <w:bCs w:val="0"/>
          <w:color w:val="auto"/>
          <w:spacing w:val="-5"/>
          <w:u w:val="single"/>
          <w:lang w:eastAsia="zh-CN"/>
        </w:rPr>
      </w:pPr>
      <w:r>
        <w:rPr>
          <w:rFonts w:hint="eastAsia" w:ascii="宋体" w:hAnsi="宋体"/>
          <w:b w:val="0"/>
          <w:bCs w:val="0"/>
          <w:color w:val="auto"/>
          <w:spacing w:val="-5"/>
        </w:rPr>
        <w:t>本项目不接受联合体</w:t>
      </w:r>
      <w:r>
        <w:rPr>
          <w:rFonts w:hint="eastAsia" w:ascii="宋体" w:hAnsi="宋体"/>
          <w:b w:val="0"/>
          <w:bCs w:val="0"/>
          <w:color w:val="auto"/>
          <w:spacing w:val="-5"/>
          <w:lang w:val="en-US" w:eastAsia="zh-CN"/>
        </w:rPr>
        <w:t>投标</w:t>
      </w:r>
      <w:r>
        <w:rPr>
          <w:rFonts w:hint="eastAsia" w:ascii="宋体" w:hAnsi="宋体"/>
          <w:b w:val="0"/>
          <w:bCs w:val="0"/>
          <w:color w:val="auto"/>
          <w:spacing w:val="-5"/>
        </w:rPr>
        <w:t>。</w:t>
      </w:r>
    </w:p>
    <w:p>
      <w:pPr>
        <w:pStyle w:val="3"/>
        <w:rPr>
          <w:b/>
          <w:bCs/>
          <w:lang w:eastAsia="zh-CN"/>
        </w:rPr>
      </w:pPr>
      <w:bookmarkStart w:id="2" w:name="_Toc5686"/>
      <w:bookmarkStart w:id="3" w:name="_Toc22458"/>
      <w:r>
        <w:rPr>
          <w:rFonts w:hint="eastAsia"/>
          <w:b/>
          <w:bCs/>
          <w:color w:val="auto"/>
          <w:lang w:val="en-US" w:eastAsia="zh-CN"/>
        </w:rPr>
        <w:t>二、</w:t>
      </w:r>
      <w:r>
        <w:rPr>
          <w:rFonts w:hint="eastAsia"/>
          <w:b/>
          <w:bCs/>
          <w:color w:val="auto"/>
          <w:lang w:eastAsia="zh-CN"/>
        </w:rPr>
        <w:t>投标人的资格要</w:t>
      </w:r>
      <w:r>
        <w:rPr>
          <w:rFonts w:hint="eastAsia"/>
          <w:b/>
          <w:bCs/>
          <w:lang w:eastAsia="zh-CN"/>
        </w:rPr>
        <w:t>求</w:t>
      </w:r>
      <w:bookmarkEnd w:id="2"/>
      <w:bookmarkEnd w:id="3"/>
    </w:p>
    <w:p>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bookmarkStart w:id="4" w:name="_Toc14693"/>
      <w:bookmarkStart w:id="5" w:name="_Toc2349"/>
      <w:bookmarkStart w:id="6" w:name="_Toc29296"/>
      <w:bookmarkStart w:id="7" w:name="_Toc24924"/>
      <w:bookmarkStart w:id="8" w:name="_Toc25545"/>
      <w:r>
        <w:rPr>
          <w:rFonts w:hint="eastAsia" w:ascii="宋体" w:hAnsi="宋体" w:eastAsia="宋体" w:cs="宋体"/>
          <w:b w:val="0"/>
          <w:bCs w:val="0"/>
          <w:color w:val="auto"/>
          <w:spacing w:val="-5"/>
          <w:lang w:val="en-US" w:eastAsia="zh-CN"/>
        </w:rPr>
        <w:t>1.满足以下规定：</w:t>
      </w:r>
    </w:p>
    <w:p>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（1）具有独立承担民事责任的能力；</w:t>
      </w:r>
    </w:p>
    <w:p>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（2）具有良好的商业信誉和健全的财务会计制度；</w:t>
      </w:r>
    </w:p>
    <w:p>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（3）具有履行合同所必需的设备和专业技术能力；</w:t>
      </w:r>
    </w:p>
    <w:p>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（4）有依法缴纳税收和社会保障资金的良好记录；</w:t>
      </w:r>
    </w:p>
    <w:p>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（5）参加本次采购活动前三年内,在经营活动中没有重大违法记录；</w:t>
      </w:r>
    </w:p>
    <w:p>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（6）法律、行政法规规定的其他条件。</w:t>
      </w:r>
    </w:p>
    <w:p>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2.单位负责人为同一人或者存在直接控股、管理关系的不同供应商，不得参加同一合同项下的采购活动。为本项目提供整体设计、规范编制或者项目管理、监理、检测等服务的供应商不得参加本项目的采购活动。</w:t>
      </w:r>
    </w:p>
    <w:p>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3.供应商被“信用中国”网站列入失信被执行人和重大税收违法案件当事人名单的、被“中国政府采购网”网站列入政府采购严重违法失信行为记录名单（处罚期限尚未届满的），不得参加本项目的采购活动。</w:t>
      </w:r>
    </w:p>
    <w:p>
      <w:pPr>
        <w:widowControl w:val="0"/>
        <w:kinsoku/>
        <w:wordWrap w:val="0"/>
        <w:spacing w:line="460" w:lineRule="exact"/>
        <w:ind w:firstLine="460" w:firstLineChars="200"/>
        <w:rPr>
          <w:rFonts w:hint="eastAsia" w:ascii="宋体" w:hAnsi="宋体" w:eastAsia="宋体" w:cs="宋体"/>
          <w:b w:val="0"/>
          <w:bCs w:val="0"/>
          <w:color w:val="auto"/>
          <w:spacing w:val="-5"/>
          <w:lang w:val="en-US" w:eastAsia="zh-CN"/>
        </w:rPr>
      </w:pPr>
      <w:r>
        <w:rPr>
          <w:rFonts w:hint="eastAsia" w:ascii="宋体" w:hAnsi="宋体" w:eastAsia="宋体" w:cs="宋体"/>
          <w:b w:val="0"/>
          <w:bCs w:val="0"/>
          <w:color w:val="auto"/>
          <w:spacing w:val="-5"/>
          <w:lang w:val="en-US" w:eastAsia="zh-CN"/>
        </w:rPr>
        <w:t>4.本项目的特定资格：无。</w:t>
      </w:r>
    </w:p>
    <w:p>
      <w:pPr>
        <w:pStyle w:val="3"/>
        <w:keepNext/>
        <w:keepLines/>
        <w:pageBreakBefore w:val="0"/>
        <w:widowControl/>
        <w:kinsoku/>
        <w:wordWrap/>
        <w:overflowPunct/>
        <w:topLinePunct w:val="0"/>
        <w:autoSpaceDE w:val="0"/>
        <w:autoSpaceDN w:val="0"/>
        <w:bidi w:val="0"/>
        <w:adjustRightInd w:val="0"/>
        <w:snapToGrid w:val="0"/>
        <w:textAlignment w:val="baseline"/>
        <w:rPr>
          <w:rFonts w:hint="default"/>
          <w:b/>
          <w:bCs/>
          <w:lang w:val="en-US" w:eastAsia="zh-CN"/>
        </w:rPr>
      </w:pPr>
      <w:r>
        <w:rPr>
          <w:rFonts w:hint="eastAsia"/>
          <w:b/>
          <w:bCs/>
          <w:lang w:val="en-US" w:eastAsia="zh-CN"/>
        </w:rPr>
        <w:t>三、</w:t>
      </w:r>
      <w:bookmarkEnd w:id="4"/>
      <w:bookmarkEnd w:id="5"/>
      <w:bookmarkEnd w:id="6"/>
      <w:bookmarkEnd w:id="7"/>
      <w:bookmarkEnd w:id="8"/>
      <w:r>
        <w:rPr>
          <w:rFonts w:hint="eastAsia"/>
          <w:b/>
          <w:bCs/>
          <w:lang w:val="en-US" w:eastAsia="zh-CN"/>
        </w:rPr>
        <w:t>采购需求</w:t>
      </w:r>
    </w:p>
    <w:p>
      <w:pPr>
        <w:keepNext w:val="0"/>
        <w:keepLines w:val="0"/>
        <w:pageBreakBefore w:val="0"/>
        <w:widowControl w:val="0"/>
        <w:kinsoku w:val="0"/>
        <w:wordWrap/>
        <w:overflowPunct/>
        <w:topLinePunct w:val="0"/>
        <w:autoSpaceDE w:val="0"/>
        <w:autoSpaceDN w:val="0"/>
        <w:bidi w:val="0"/>
        <w:adjustRightInd w:val="0"/>
        <w:snapToGrid w:val="0"/>
        <w:spacing w:before="78" w:line="219" w:lineRule="auto"/>
        <w:ind w:firstLine="478" w:firstLineChars="200"/>
        <w:textAlignment w:val="baseline"/>
        <w:rPr>
          <w:rFonts w:hint="default" w:ascii="宋体" w:hAnsi="宋体" w:eastAsia="宋体" w:cs="宋体"/>
          <w:b/>
          <w:bCs/>
          <w:color w:val="auto"/>
          <w:sz w:val="24"/>
          <w:szCs w:val="24"/>
          <w:lang w:val="en-US" w:eastAsia="zh-CN"/>
        </w:rPr>
      </w:pPr>
      <w:bookmarkStart w:id="9" w:name="_Toc1050"/>
      <w:bookmarkStart w:id="10" w:name="_Toc3907"/>
      <w:bookmarkStart w:id="11" w:name="_Toc26511"/>
      <w:bookmarkStart w:id="12" w:name="_Toc4621"/>
      <w:bookmarkStart w:id="13" w:name="_Toc11777"/>
      <w:r>
        <w:rPr>
          <w:rFonts w:ascii="宋体" w:hAnsi="宋体" w:eastAsia="宋体" w:cs="宋体"/>
          <w:b/>
          <w:bCs/>
          <w:color w:val="auto"/>
          <w:sz w:val="24"/>
          <w:szCs w:val="24"/>
        </w:rPr>
        <w:t>（一）</w:t>
      </w:r>
      <w:r>
        <w:rPr>
          <w:rFonts w:hint="eastAsia" w:ascii="宋体" w:hAnsi="宋体" w:cs="宋体"/>
          <w:b/>
          <w:bCs/>
          <w:color w:val="auto"/>
          <w:sz w:val="24"/>
          <w:szCs w:val="24"/>
          <w:lang w:val="en-US" w:eastAsia="zh-CN"/>
        </w:rPr>
        <w:t>采购清单</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6087"/>
        <w:gridCol w:w="1305"/>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12"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60" w:lineRule="exact"/>
              <w:ind w:left="0" w:right="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5889"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60" w:lineRule="exact"/>
              <w:ind w:left="0" w:right="0"/>
              <w:jc w:val="center"/>
              <w:rPr>
                <w:rFonts w:hint="default" w:ascii="宋体" w:hAnsi="宋体" w:eastAsia="宋体" w:cs="宋体"/>
                <w:b/>
                <w:kern w:val="0"/>
                <w:sz w:val="24"/>
                <w:szCs w:val="24"/>
                <w:lang w:val="en-US" w:eastAsia="zh-CN"/>
              </w:rPr>
            </w:pPr>
            <w:bookmarkStart w:id="14" w:name="_Toc4137"/>
            <w:r>
              <w:rPr>
                <w:rFonts w:hint="eastAsia" w:ascii="宋体" w:hAnsi="宋体" w:eastAsia="宋体" w:cs="宋体"/>
                <w:b/>
                <w:bCs/>
                <w:i w:val="0"/>
                <w:iCs w:val="0"/>
                <w:color w:val="000000"/>
                <w:kern w:val="0"/>
                <w:sz w:val="24"/>
                <w:szCs w:val="24"/>
                <w:highlight w:val="none"/>
                <w:vertAlign w:val="baseline"/>
                <w:lang w:val="en-US" w:eastAsia="zh-CN" w:bidi="ar-SA"/>
              </w:rPr>
              <w:t>采购标的名称</w:t>
            </w:r>
            <w:bookmarkEnd w:id="14"/>
          </w:p>
        </w:tc>
        <w:tc>
          <w:tcPr>
            <w:tcW w:w="1263"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60" w:lineRule="exact"/>
              <w:ind w:left="0" w:right="0"/>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1134"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60" w:lineRule="exact"/>
              <w:ind w:left="0" w:right="0"/>
              <w:jc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2"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46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58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snapToGrid w:val="0"/>
                <w:color w:val="auto"/>
                <w:spacing w:val="0"/>
                <w:kern w:val="0"/>
                <w:position w:val="0"/>
                <w:sz w:val="24"/>
                <w:szCs w:val="24"/>
                <w:highlight w:val="none"/>
                <w:u w:val="none"/>
                <w:lang w:val="en-US" w:eastAsia="zh-CN"/>
              </w:rPr>
              <w:t>中医教学大数据平台</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snapToGrid w:val="0"/>
                <w:color w:val="auto"/>
                <w:spacing w:val="0"/>
                <w:kern w:val="0"/>
                <w:position w:val="0"/>
                <w:sz w:val="24"/>
                <w:szCs w:val="24"/>
                <w:highlight w:val="none"/>
                <w:u w:val="none"/>
                <w:lang w:val="en-US" w:eastAsia="zh-CN"/>
              </w:rPr>
              <w:t>套</w:t>
            </w:r>
          </w:p>
        </w:tc>
      </w:tr>
    </w:tbl>
    <w:p>
      <w:pPr>
        <w:keepNext w:val="0"/>
        <w:keepLines w:val="0"/>
        <w:pageBreakBefore w:val="0"/>
        <w:widowControl w:val="0"/>
        <w:kinsoku w:val="0"/>
        <w:wordWrap/>
        <w:overflowPunct/>
        <w:topLinePunct w:val="0"/>
        <w:autoSpaceDE w:val="0"/>
        <w:autoSpaceDN w:val="0"/>
        <w:bidi w:val="0"/>
        <w:adjustRightInd w:val="0"/>
        <w:snapToGrid w:val="0"/>
        <w:spacing w:line="242" w:lineRule="auto"/>
        <w:ind w:firstLine="478" w:firstLineChars="200"/>
        <w:textAlignment w:val="baseline"/>
        <w:rPr>
          <w:rFonts w:hint="eastAsia"/>
          <w:b/>
          <w:bCs/>
          <w:color w:val="auto"/>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242" w:lineRule="auto"/>
        <w:ind w:firstLine="478" w:firstLineChars="200"/>
        <w:textAlignment w:val="baseline"/>
        <w:rPr>
          <w:rFonts w:hint="default" w:eastAsia="宋体"/>
          <w:b/>
          <w:bCs/>
          <w:color w:val="auto"/>
          <w:lang w:val="en-US" w:eastAsia="zh-CN"/>
        </w:rPr>
      </w:pPr>
      <w:r>
        <w:rPr>
          <w:rFonts w:hint="eastAsia"/>
          <w:b/>
          <w:bCs/>
          <w:color w:val="auto"/>
          <w:lang w:eastAsia="zh-CN"/>
        </w:rPr>
        <w:t>（</w:t>
      </w:r>
      <w:r>
        <w:rPr>
          <w:rFonts w:hint="eastAsia"/>
          <w:b/>
          <w:bCs/>
          <w:color w:val="auto"/>
          <w:lang w:val="en-US" w:eastAsia="zh-CN"/>
        </w:rPr>
        <w:t>二）技术要求</w:t>
      </w:r>
    </w:p>
    <w:bookmarkEnd w:id="9"/>
    <w:bookmarkEnd w:id="10"/>
    <w:bookmarkEnd w:id="11"/>
    <w:bookmarkEnd w:id="12"/>
    <w:bookmarkEnd w:id="13"/>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02" w:type="dxa"/>
            <w:noWrap w:val="0"/>
            <w:vAlign w:val="center"/>
          </w:tcPr>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项目需围绕“优质中医教育资源数字化传播”核心目标，搭建稳定、高效、安全的线上学习平台，满足基层医生远程跟诊、中医古籍查阅、中药辨识、经方查询、养生药膳查询等核心需求，助力地方中医药高水平人才培养。</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平台需融合先进视频技术与数字化技术，丰富教学手段（如高清视频交互、智能检索等），确保教学效果提升，硬件设备与软件平台需兼容适配，整体系统可用性≥99.9%。</w:t>
            </w:r>
          </w:p>
          <w:p>
            <w:pPr>
              <w:pStyle w:val="3"/>
              <w:pageBreakBefore w:val="0"/>
              <w:widowControl/>
              <w:suppressLineNumbers w:val="0"/>
              <w:kinsoku/>
              <w:wordWrap/>
              <w:overflowPunct/>
              <w:topLinePunct w:val="0"/>
              <w:autoSpaceDE/>
              <w:autoSpaceDN/>
              <w:bidi w:val="0"/>
              <w:snapToGrid/>
              <w:spacing w:before="0" w:beforeAutospacing="0" w:after="0" w:afterAutospacing="0" w:line="460" w:lineRule="exact"/>
              <w:ind w:left="0" w:right="0" w:firstLine="0"/>
              <w:jc w:val="both"/>
              <w:rPr>
                <w:rFonts w:hint="eastAsia" w:ascii="宋体" w:hAnsi="宋体" w:eastAsia="宋体" w:cs="宋体"/>
                <w:sz w:val="24"/>
                <w:szCs w:val="24"/>
              </w:rPr>
            </w:pPr>
            <w:r>
              <w:rPr>
                <w:rFonts w:hint="eastAsia" w:ascii="宋体" w:hAnsi="宋体" w:eastAsia="宋体" w:cs="宋体"/>
                <w:sz w:val="24"/>
                <w:szCs w:val="24"/>
              </w:rPr>
              <w:t>平台功能与性能要求</w:t>
            </w:r>
          </w:p>
          <w:p>
            <w:pPr>
              <w:pStyle w:val="4"/>
              <w:pageBreakBefore w:val="0"/>
              <w:widowControl/>
              <w:suppressLineNumbers w:val="0"/>
              <w:kinsoku/>
              <w:wordWrap/>
              <w:overflowPunct/>
              <w:topLinePunct w:val="0"/>
              <w:autoSpaceDE/>
              <w:autoSpaceDN/>
              <w:bidi w:val="0"/>
              <w:snapToGrid/>
              <w:spacing w:before="0" w:beforeAutospacing="0" w:after="0" w:afterAutospacing="0" w:line="460" w:lineRule="exact"/>
              <w:ind w:left="0" w:right="0" w:firstLine="0"/>
              <w:jc w:val="both"/>
              <w:rPr>
                <w:rFonts w:hint="eastAsia" w:ascii="宋体" w:hAnsi="宋体" w:eastAsia="宋体" w:cs="宋体"/>
                <w:color w:val="auto"/>
                <w:sz w:val="24"/>
                <w:szCs w:val="24"/>
              </w:rPr>
            </w:pPr>
            <w:r>
              <w:rPr>
                <w:rFonts w:hint="eastAsia" w:ascii="宋体" w:hAnsi="宋体" w:eastAsia="宋体" w:cs="宋体"/>
                <w:sz w:val="24"/>
                <w:szCs w:val="24"/>
              </w:rPr>
              <w:t>（一）核心功能模</w:t>
            </w:r>
            <w:r>
              <w:rPr>
                <w:rFonts w:hint="eastAsia" w:ascii="宋体" w:hAnsi="宋体" w:eastAsia="宋体" w:cs="宋体"/>
                <w:color w:val="auto"/>
                <w:sz w:val="24"/>
                <w:szCs w:val="24"/>
              </w:rPr>
              <w:t>块要求</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
                <w:bCs/>
                <w:color w:val="auto"/>
                <w:sz w:val="24"/>
                <w:szCs w:val="24"/>
              </w:rPr>
              <w:t>远程跟诊模块</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支持高清视频交互（分辨率≥1080P，帧率≥25fps，延迟≤100ms），具备屏幕共享、病历标注、实时语音互动</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功能；</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支持跟诊过程录像（格式为MP4，支持1080P存储）、回放与导出，录像文件可关联患者基础信息（脱敏处理）；</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提供跟诊笔记功能，支持文字、图片同步至个人学习空间。</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b/>
                <w:bCs/>
                <w:color w:val="auto"/>
                <w:sz w:val="24"/>
                <w:szCs w:val="24"/>
              </w:rPr>
              <w:t>中医古典书籍查阅模块</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收录≥500部权威中医古籍（</w:t>
            </w:r>
            <w:r>
              <w:rPr>
                <w:rFonts w:hint="eastAsia" w:ascii="宋体" w:hAnsi="宋体" w:eastAsia="宋体" w:cs="宋体"/>
                <w:color w:val="auto"/>
                <w:sz w:val="24"/>
                <w:szCs w:val="24"/>
                <w:lang w:eastAsia="zh-CN"/>
              </w:rPr>
              <w:t>包含但不限于</w:t>
            </w:r>
            <w:r>
              <w:rPr>
                <w:rFonts w:hint="eastAsia" w:ascii="宋体" w:hAnsi="宋体" w:eastAsia="宋体" w:cs="宋体"/>
                <w:color w:val="auto"/>
                <w:sz w:val="24"/>
                <w:szCs w:val="24"/>
              </w:rPr>
              <w:t>《伤寒论》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《金匮要略》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《黄帝内经》等），</w:t>
            </w:r>
            <w:r>
              <w:rPr>
                <w:rFonts w:hint="eastAsia" w:ascii="宋体" w:hAnsi="宋体" w:eastAsia="宋体" w:cs="宋体"/>
                <w:color w:val="auto"/>
                <w:sz w:val="24"/>
                <w:szCs w:val="24"/>
                <w:lang w:eastAsia="zh-CN"/>
              </w:rPr>
              <w:t>所收录中医古籍</w:t>
            </w:r>
            <w:r>
              <w:rPr>
                <w:rFonts w:hint="eastAsia" w:ascii="宋体" w:hAnsi="宋体" w:eastAsia="宋体" w:cs="宋体"/>
                <w:color w:val="auto"/>
                <w:sz w:val="24"/>
                <w:szCs w:val="24"/>
              </w:rPr>
              <w:t>均为高清扫描件（分辨率≥300DPI），</w:t>
            </w:r>
            <w:r>
              <w:rPr>
                <w:rFonts w:hint="eastAsia" w:ascii="宋体" w:hAnsi="宋体" w:eastAsia="宋体" w:cs="宋体"/>
                <w:color w:val="auto"/>
                <w:sz w:val="24"/>
                <w:szCs w:val="24"/>
                <w:lang w:eastAsia="zh-CN"/>
              </w:rPr>
              <w:t>查阅模块</w:t>
            </w:r>
            <w:r>
              <w:rPr>
                <w:rFonts w:hint="eastAsia" w:ascii="宋体" w:hAnsi="宋体" w:eastAsia="宋体" w:cs="宋体"/>
                <w:color w:val="auto"/>
                <w:sz w:val="24"/>
                <w:szCs w:val="24"/>
              </w:rPr>
              <w:t>支持全文检索（</w:t>
            </w:r>
            <w:r>
              <w:rPr>
                <w:rFonts w:hint="eastAsia" w:ascii="宋体" w:hAnsi="宋体" w:eastAsia="宋体" w:cs="宋体"/>
                <w:color w:val="auto"/>
                <w:sz w:val="24"/>
                <w:szCs w:val="24"/>
                <w:lang w:eastAsia="zh-CN"/>
              </w:rPr>
              <w:t>检索字段包含但不限于</w:t>
            </w:r>
            <w:r>
              <w:rPr>
                <w:rFonts w:hint="eastAsia" w:ascii="宋体" w:hAnsi="宋体" w:eastAsia="宋体" w:cs="宋体"/>
                <w:color w:val="auto"/>
                <w:sz w:val="24"/>
                <w:szCs w:val="24"/>
              </w:rPr>
              <w:t>关键词、篇章、作者）；</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提供古籍分类导航（</w:t>
            </w:r>
            <w:r>
              <w:rPr>
                <w:rFonts w:hint="eastAsia" w:ascii="宋体" w:hAnsi="宋体" w:eastAsia="宋体" w:cs="宋体"/>
                <w:color w:val="auto"/>
                <w:sz w:val="24"/>
                <w:szCs w:val="24"/>
                <w:lang w:eastAsia="zh-CN"/>
              </w:rPr>
              <w:t>分类方式包含但不限于</w:t>
            </w:r>
            <w:r>
              <w:rPr>
                <w:rFonts w:hint="eastAsia" w:ascii="宋体" w:hAnsi="宋体" w:eastAsia="宋体" w:cs="宋体"/>
                <w:color w:val="auto"/>
                <w:sz w:val="24"/>
                <w:szCs w:val="24"/>
              </w:rPr>
              <w:t>按朝代、学科、典籍类型</w:t>
            </w:r>
            <w:r>
              <w:rPr>
                <w:rFonts w:hint="eastAsia" w:ascii="宋体" w:hAnsi="宋体" w:eastAsia="宋体" w:cs="宋体"/>
                <w:color w:val="auto"/>
                <w:sz w:val="24"/>
                <w:szCs w:val="24"/>
                <w:lang w:eastAsia="zh-CN"/>
              </w:rPr>
              <w:t>分类</w:t>
            </w:r>
            <w:r>
              <w:rPr>
                <w:rFonts w:hint="eastAsia" w:ascii="宋体" w:hAnsi="宋体" w:eastAsia="宋体" w:cs="宋体"/>
                <w:color w:val="auto"/>
                <w:sz w:val="24"/>
                <w:szCs w:val="24"/>
              </w:rPr>
              <w:t>），支持页面放大</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缩小、书签添加、跨典籍对比阅读</w:t>
            </w:r>
            <w:r>
              <w:rPr>
                <w:rFonts w:hint="eastAsia" w:ascii="宋体" w:hAnsi="宋体" w:eastAsia="宋体" w:cs="宋体"/>
                <w:color w:val="auto"/>
                <w:sz w:val="24"/>
                <w:szCs w:val="24"/>
                <w:lang w:eastAsia="zh-CN"/>
              </w:rPr>
              <w:t>等功能</w:t>
            </w:r>
            <w:r>
              <w:rPr>
                <w:rFonts w:hint="eastAsia" w:ascii="宋体" w:hAnsi="宋体" w:eastAsia="宋体" w:cs="宋体"/>
                <w:color w:val="auto"/>
                <w:sz w:val="24"/>
                <w:szCs w:val="24"/>
              </w:rPr>
              <w:t>；</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古籍内容需经中医药领域专家审核，确保文本准确性，无错漏、篡改。</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b/>
                <w:bCs/>
                <w:color w:val="auto"/>
                <w:sz w:val="24"/>
                <w:szCs w:val="24"/>
              </w:rPr>
              <w:t>中药辨识模块</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覆盖≥800种常用中药（包含植物药、动物药、矿物药），提供高清图文；</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包含中药核心信息：性味归经、功效主治、采收加工、真伪鉴别要点（如外观、气味、显微特征）、常用配伍</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支持按中药名称、功效、科属检索，提供“相似中药对比”功能（如易混淆的饮片鉴别）。</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b/>
                <w:bCs/>
                <w:color w:val="auto"/>
                <w:sz w:val="24"/>
                <w:szCs w:val="24"/>
              </w:rPr>
              <w:t>中医历代经方模块</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收录≥3000首历代经典方剂（</w:t>
            </w:r>
            <w:r>
              <w:rPr>
                <w:rFonts w:hint="eastAsia" w:ascii="宋体" w:hAnsi="宋体" w:eastAsia="宋体" w:cs="宋体"/>
                <w:color w:val="auto"/>
                <w:sz w:val="24"/>
                <w:szCs w:val="24"/>
                <w:lang w:eastAsia="zh-CN"/>
              </w:rPr>
              <w:t>包含但不限于</w:t>
            </w:r>
            <w:r>
              <w:rPr>
                <w:rFonts w:hint="eastAsia" w:ascii="宋体" w:hAnsi="宋体" w:eastAsia="宋体" w:cs="宋体"/>
                <w:color w:val="auto"/>
                <w:sz w:val="24"/>
                <w:szCs w:val="24"/>
              </w:rPr>
              <w:t>伤寒方、温病方、时方），</w:t>
            </w:r>
            <w:r>
              <w:rPr>
                <w:rFonts w:hint="eastAsia" w:ascii="宋体" w:hAnsi="宋体" w:eastAsia="宋体" w:cs="宋体"/>
                <w:color w:val="auto"/>
                <w:sz w:val="24"/>
                <w:szCs w:val="24"/>
                <w:lang w:eastAsia="zh-CN"/>
              </w:rPr>
              <w:t>经典方剂需</w:t>
            </w:r>
            <w:r>
              <w:rPr>
                <w:rFonts w:hint="eastAsia" w:ascii="宋体" w:hAnsi="宋体" w:eastAsia="宋体" w:cs="宋体"/>
                <w:color w:val="auto"/>
                <w:sz w:val="24"/>
                <w:szCs w:val="24"/>
              </w:rPr>
              <w:t>标注来源典籍、组成药材、剂量（支持古今单位换算）</w:t>
            </w:r>
            <w:r>
              <w:rPr>
                <w:rFonts w:hint="eastAsia" w:ascii="宋体" w:hAnsi="宋体" w:eastAsia="宋体" w:cs="宋体"/>
                <w:color w:val="auto"/>
                <w:sz w:val="24"/>
                <w:szCs w:val="24"/>
                <w:lang w:eastAsia="zh-CN"/>
              </w:rPr>
              <w:t>等信息</w:t>
            </w:r>
            <w:r>
              <w:rPr>
                <w:rFonts w:hint="eastAsia" w:ascii="宋体" w:hAnsi="宋体" w:eastAsia="宋体" w:cs="宋体"/>
                <w:color w:val="auto"/>
                <w:sz w:val="24"/>
                <w:szCs w:val="24"/>
              </w:rPr>
              <w:t>；</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提供经方配伍解析、功效主治、临床应用案例（需经三甲中医院医师审核），支持按病症、药材</w:t>
            </w:r>
            <w:r>
              <w:rPr>
                <w:rFonts w:hint="eastAsia" w:ascii="宋体" w:hAnsi="宋体" w:eastAsia="宋体" w:cs="宋体"/>
                <w:color w:val="auto"/>
                <w:sz w:val="24"/>
                <w:szCs w:val="24"/>
                <w:lang w:eastAsia="zh-CN"/>
              </w:rPr>
              <w:t>等方式</w:t>
            </w:r>
            <w:r>
              <w:rPr>
                <w:rFonts w:hint="eastAsia" w:ascii="宋体" w:hAnsi="宋体" w:eastAsia="宋体" w:cs="宋体"/>
                <w:color w:val="auto"/>
                <w:sz w:val="24"/>
                <w:szCs w:val="24"/>
              </w:rPr>
              <w:t>检索；</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需</w:t>
            </w:r>
            <w:r>
              <w:rPr>
                <w:rFonts w:hint="eastAsia" w:ascii="宋体" w:hAnsi="宋体" w:eastAsia="宋体" w:cs="宋体"/>
                <w:color w:val="auto"/>
                <w:sz w:val="24"/>
                <w:szCs w:val="24"/>
              </w:rPr>
              <w:t>具备经方笔记功能，可记录临床应用心得，支持分享至平台医生交流社区（需实名认证）。</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b/>
                <w:bCs/>
                <w:color w:val="auto"/>
                <w:sz w:val="24"/>
                <w:szCs w:val="24"/>
              </w:rPr>
              <w:t>中医养生药膳模块</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收录≥500道合规药膳，</w:t>
            </w:r>
            <w:r>
              <w:rPr>
                <w:rFonts w:hint="eastAsia" w:ascii="宋体" w:hAnsi="宋体" w:eastAsia="宋体" w:cs="宋体"/>
                <w:color w:val="auto"/>
                <w:sz w:val="24"/>
                <w:szCs w:val="24"/>
                <w:lang w:eastAsia="zh-CN"/>
              </w:rPr>
              <w:t>药膳需</w:t>
            </w:r>
            <w:r>
              <w:rPr>
                <w:rFonts w:hint="eastAsia" w:ascii="宋体" w:hAnsi="宋体" w:eastAsia="宋体" w:cs="宋体"/>
                <w:color w:val="auto"/>
                <w:sz w:val="24"/>
                <w:szCs w:val="24"/>
              </w:rPr>
              <w:t>分类明确（</w:t>
            </w:r>
            <w:r>
              <w:rPr>
                <w:rFonts w:hint="eastAsia" w:ascii="宋体" w:hAnsi="宋体" w:eastAsia="宋体" w:cs="宋体"/>
                <w:color w:val="auto"/>
                <w:sz w:val="24"/>
                <w:szCs w:val="24"/>
                <w:lang w:eastAsia="zh-CN"/>
              </w:rPr>
              <w:t>需包含</w:t>
            </w:r>
            <w:r>
              <w:rPr>
                <w:rFonts w:hint="eastAsia" w:ascii="宋体" w:hAnsi="宋体" w:eastAsia="宋体" w:cs="宋体"/>
                <w:color w:val="auto"/>
                <w:sz w:val="24"/>
                <w:szCs w:val="24"/>
              </w:rPr>
              <w:t>补气、养血、祛湿、安神</w:t>
            </w:r>
            <w:r>
              <w:rPr>
                <w:rFonts w:hint="eastAsia" w:ascii="宋体" w:hAnsi="宋体" w:eastAsia="宋体" w:cs="宋体"/>
                <w:color w:val="auto"/>
                <w:sz w:val="24"/>
                <w:szCs w:val="24"/>
                <w:lang w:eastAsia="zh-CN"/>
              </w:rPr>
              <w:t>等类型</w:t>
            </w:r>
            <w:r>
              <w:rPr>
                <w:rFonts w:hint="eastAsia" w:ascii="宋体" w:hAnsi="宋体" w:eastAsia="宋体" w:cs="宋体"/>
                <w:color w:val="auto"/>
                <w:sz w:val="24"/>
                <w:szCs w:val="24"/>
              </w:rPr>
              <w:t>）；</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提供药膳配方（</w:t>
            </w:r>
            <w:r>
              <w:rPr>
                <w:rFonts w:hint="eastAsia" w:ascii="宋体" w:hAnsi="宋体" w:eastAsia="宋体" w:cs="宋体"/>
                <w:color w:val="auto"/>
                <w:sz w:val="24"/>
                <w:szCs w:val="24"/>
                <w:lang w:eastAsia="zh-CN"/>
              </w:rPr>
              <w:t>配方包含</w:t>
            </w:r>
            <w:r>
              <w:rPr>
                <w:rFonts w:hint="eastAsia" w:ascii="宋体" w:hAnsi="宋体" w:eastAsia="宋体" w:cs="宋体"/>
                <w:color w:val="auto"/>
                <w:sz w:val="24"/>
                <w:szCs w:val="24"/>
              </w:rPr>
              <w:t>食材、药材用量</w:t>
            </w:r>
            <w:r>
              <w:rPr>
                <w:rFonts w:hint="eastAsia" w:ascii="宋体" w:hAnsi="宋体" w:eastAsia="宋体" w:cs="宋体"/>
                <w:color w:val="auto"/>
                <w:sz w:val="24"/>
                <w:szCs w:val="24"/>
                <w:lang w:eastAsia="zh-CN"/>
              </w:rPr>
              <w:t>等信息</w:t>
            </w:r>
            <w:r>
              <w:rPr>
                <w:rFonts w:hint="eastAsia" w:ascii="宋体" w:hAnsi="宋体" w:eastAsia="宋体" w:cs="宋体"/>
                <w:color w:val="auto"/>
                <w:sz w:val="24"/>
                <w:szCs w:val="24"/>
              </w:rPr>
              <w:t>）、制作步骤、功效说明、体质适配建议（如阴虚体质忌温补药膳）</w:t>
            </w:r>
            <w:r>
              <w:rPr>
                <w:rFonts w:hint="eastAsia" w:ascii="宋体" w:hAnsi="宋体" w:eastAsia="宋体" w:cs="宋体"/>
                <w:color w:val="auto"/>
                <w:sz w:val="24"/>
                <w:szCs w:val="24"/>
                <w:lang w:eastAsia="zh-CN"/>
              </w:rPr>
              <w:t>等内容</w:t>
            </w:r>
            <w:r>
              <w:rPr>
                <w:rFonts w:hint="eastAsia" w:ascii="宋体" w:hAnsi="宋体" w:eastAsia="宋体" w:cs="宋体"/>
                <w:color w:val="auto"/>
                <w:sz w:val="24"/>
                <w:szCs w:val="24"/>
              </w:rPr>
              <w:t>；</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Chars="0" w:right="0"/>
              <w:rPr>
                <w:rFonts w:hint="eastAsia" w:ascii="宋体" w:hAnsi="宋体" w:eastAsia="宋体" w:cs="宋体"/>
                <w:color w:val="auto"/>
                <w:sz w:val="24"/>
                <w:szCs w:val="24"/>
              </w:rPr>
            </w:pPr>
            <w:r>
              <w:rPr>
                <w:rFonts w:hint="eastAsia" w:ascii="宋体" w:hAnsi="宋体" w:eastAsia="宋体" w:cs="宋体"/>
                <w:color w:val="auto"/>
                <w:sz w:val="24"/>
                <w:szCs w:val="24"/>
              </w:rPr>
              <w:t>支持按体质、功效、食材</w:t>
            </w:r>
            <w:r>
              <w:rPr>
                <w:rFonts w:hint="eastAsia" w:ascii="宋体" w:hAnsi="宋体" w:eastAsia="宋体" w:cs="宋体"/>
                <w:color w:val="auto"/>
                <w:sz w:val="24"/>
                <w:szCs w:val="24"/>
                <w:lang w:eastAsia="zh-CN"/>
              </w:rPr>
              <w:t>等方式</w:t>
            </w:r>
            <w:r>
              <w:rPr>
                <w:rFonts w:hint="eastAsia" w:ascii="宋体" w:hAnsi="宋体" w:eastAsia="宋体" w:cs="宋体"/>
                <w:color w:val="auto"/>
                <w:sz w:val="24"/>
                <w:szCs w:val="24"/>
              </w:rPr>
              <w:t>检索，提供 “季节药膳推荐” 功能（如夏季清热解暑药膳）。</w:t>
            </w:r>
          </w:p>
          <w:p>
            <w:pPr>
              <w:pStyle w:val="4"/>
              <w:pageBreakBefore w:val="0"/>
              <w:widowControl/>
              <w:suppressLineNumbers w:val="0"/>
              <w:kinsoku/>
              <w:wordWrap/>
              <w:overflowPunct/>
              <w:topLinePunct w:val="0"/>
              <w:autoSpaceDE/>
              <w:autoSpaceDN/>
              <w:bidi w:val="0"/>
              <w:snapToGrid/>
              <w:spacing w:before="0" w:beforeAutospacing="0" w:after="0" w:afterAutospacing="0" w:line="460" w:lineRule="exact"/>
              <w:ind w:left="0" w:right="0"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（二）性能指标要求</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1.并发访问能力：支持≥500</w:t>
            </w:r>
            <w:r>
              <w:rPr>
                <w:rFonts w:hint="eastAsia" w:ascii="宋体" w:hAnsi="宋体" w:eastAsia="宋体" w:cs="宋体"/>
                <w:color w:val="auto"/>
                <w:sz w:val="24"/>
                <w:szCs w:val="24"/>
                <w:lang w:eastAsia="zh-CN"/>
              </w:rPr>
              <w:t>个</w:t>
            </w:r>
            <w:r>
              <w:rPr>
                <w:rFonts w:hint="eastAsia" w:ascii="宋体" w:hAnsi="宋体" w:eastAsia="宋体" w:cs="宋体"/>
                <w:color w:val="auto"/>
                <w:sz w:val="24"/>
                <w:szCs w:val="24"/>
              </w:rPr>
              <w:t>用户同时在线，≥100</w:t>
            </w:r>
            <w:r>
              <w:rPr>
                <w:rFonts w:hint="eastAsia" w:ascii="宋体" w:hAnsi="宋体" w:eastAsia="宋体" w:cs="宋体"/>
                <w:color w:val="auto"/>
                <w:sz w:val="24"/>
                <w:szCs w:val="24"/>
                <w:lang w:eastAsia="zh-CN"/>
              </w:rPr>
              <w:t>个</w:t>
            </w:r>
            <w:r>
              <w:rPr>
                <w:rFonts w:hint="eastAsia" w:ascii="宋体" w:hAnsi="宋体" w:eastAsia="宋体" w:cs="宋体"/>
                <w:color w:val="auto"/>
                <w:sz w:val="24"/>
                <w:szCs w:val="24"/>
              </w:rPr>
              <w:t>用户同时进行远程跟诊/视频学习，无卡顿、闪退；</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2.响应速度：页面加载时间≤3秒，检索功能响应时间≤1秒，视频点播缓冲时间≤2秒；</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3.存储容量：平台初始存储容量≥36TB（</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台服务器×4TB×3硬盘，支持RAID 5阵列冗余），支持扩展至128TB；</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4.数据备份：支持每日全量备份</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每小时增量备份，备份数据保留≥30天，灾难恢复时间（RTO）≤4小时，恢复点目标（RPO）≤1小时。</w:t>
            </w:r>
          </w:p>
          <w:p>
            <w:pPr>
              <w:pStyle w:val="3"/>
              <w:pageBreakBefore w:val="0"/>
              <w:widowControl/>
              <w:suppressLineNumbers w:val="0"/>
              <w:kinsoku/>
              <w:wordWrap/>
              <w:overflowPunct/>
              <w:topLinePunct w:val="0"/>
              <w:autoSpaceDE/>
              <w:autoSpaceDN/>
              <w:bidi w:val="0"/>
              <w:snapToGrid/>
              <w:spacing w:before="0" w:beforeAutospacing="0" w:after="0" w:afterAutospacing="0" w:line="460" w:lineRule="exact"/>
              <w:ind w:left="0" w:right="0"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p>
            <w:pPr>
              <w:pStyle w:val="4"/>
              <w:pageBreakBefore w:val="0"/>
              <w:widowControl/>
              <w:suppressLineNumbers w:val="0"/>
              <w:kinsoku/>
              <w:wordWrap/>
              <w:overflowPunct/>
              <w:topLinePunct w:val="0"/>
              <w:autoSpaceDE/>
              <w:autoSpaceDN/>
              <w:bidi w:val="0"/>
              <w:snapToGrid/>
              <w:spacing w:before="0" w:beforeAutospacing="0" w:after="0" w:afterAutospacing="0" w:line="460" w:lineRule="exact"/>
              <w:ind w:left="0" w:right="0" w:firstLine="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一</w:t>
            </w:r>
            <w:r>
              <w:rPr>
                <w:rFonts w:hint="eastAsia" w:ascii="宋体" w:hAnsi="宋体" w:eastAsia="宋体" w:cs="宋体"/>
                <w:sz w:val="24"/>
                <w:szCs w:val="24"/>
              </w:rPr>
              <w:t>）软件质量</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平台软件需通过第三方安全测试，无高危漏洞（符合 GB/T 30279-20</w:t>
            </w:r>
            <w:r>
              <w:rPr>
                <w:rFonts w:hint="eastAsia" w:ascii="宋体" w:hAnsi="宋体" w:eastAsia="宋体" w:cs="宋体"/>
                <w:sz w:val="24"/>
                <w:szCs w:val="24"/>
                <w:lang w:val="en-US" w:eastAsia="zh-CN"/>
              </w:rPr>
              <w:t>20</w:t>
            </w:r>
            <w:r>
              <w:rPr>
                <w:rFonts w:hint="eastAsia" w:ascii="宋体" w:hAnsi="宋体" w:eastAsia="宋体" w:cs="宋体"/>
                <w:sz w:val="24"/>
                <w:szCs w:val="24"/>
              </w:rPr>
              <w:t>《信息安全技术网络和终端设备安全要求》），支持漏洞扫描（每月≥1 次）；</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兼容性：支持Chrome 90+、Firefox 88+、Edge 90 + 等主流浏览器，适配Windows 10+、macOS 11+、Android 10+、iOS 14 + 操作系统；</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数据准确性：中医古籍、经方、中药、药膳数据需经省级及以上中医药学会审核，与《中华人民共和国药典》（2020 年版）、《中华医典》等权威来源一致，数据更新误差率≤0.1%。</w:t>
            </w:r>
          </w:p>
          <w:p>
            <w:pPr>
              <w:pStyle w:val="4"/>
              <w:pageBreakBefore w:val="0"/>
              <w:widowControl/>
              <w:suppressLineNumbers w:val="0"/>
              <w:kinsoku/>
              <w:wordWrap/>
              <w:overflowPunct/>
              <w:topLinePunct w:val="0"/>
              <w:autoSpaceDE/>
              <w:autoSpaceDN/>
              <w:bidi w:val="0"/>
              <w:snapToGrid/>
              <w:spacing w:before="0" w:beforeAutospacing="0" w:after="0" w:afterAutospacing="0" w:line="460" w:lineRule="exact"/>
              <w:ind w:left="0" w:right="0" w:firstLine="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二</w:t>
            </w:r>
            <w:r>
              <w:rPr>
                <w:rFonts w:hint="eastAsia" w:ascii="宋体" w:hAnsi="宋体" w:eastAsia="宋体" w:cs="宋体"/>
                <w:sz w:val="24"/>
                <w:szCs w:val="24"/>
              </w:rPr>
              <w:t>）数据安全</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传输安全：采用SSL/TLS 1.3加密传输，用户密码采用SHA-256加密存储，敏感数据（如跟诊记录、个人信息）采用AES-256加密；</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访问控制：采用角色权</w:t>
            </w:r>
            <w:r>
              <w:rPr>
                <w:rFonts w:hint="eastAsia" w:ascii="宋体" w:hAnsi="宋体" w:eastAsia="宋体" w:cs="宋体"/>
                <w:color w:val="auto"/>
                <w:sz w:val="24"/>
                <w:szCs w:val="24"/>
              </w:rPr>
              <w:t>限管理（</w:t>
            </w:r>
            <w:r>
              <w:rPr>
                <w:rFonts w:hint="eastAsia" w:ascii="宋体" w:hAnsi="宋体" w:eastAsia="宋体" w:cs="宋体"/>
                <w:color w:val="auto"/>
                <w:sz w:val="24"/>
                <w:szCs w:val="24"/>
                <w:lang w:val="en-US" w:eastAsia="zh-CN"/>
              </w:rPr>
              <w:t>包含</w:t>
            </w:r>
            <w:r>
              <w:rPr>
                <w:rFonts w:hint="eastAsia" w:ascii="宋体" w:hAnsi="宋体" w:eastAsia="宋体" w:cs="宋体"/>
                <w:color w:val="auto"/>
                <w:sz w:val="24"/>
                <w:szCs w:val="24"/>
              </w:rPr>
              <w:t>管理员、教师、学员、基层医生</w:t>
            </w:r>
            <w:r>
              <w:rPr>
                <w:rFonts w:hint="eastAsia" w:ascii="宋体" w:hAnsi="宋体" w:eastAsia="宋体" w:cs="宋体"/>
                <w:color w:val="auto"/>
                <w:sz w:val="24"/>
                <w:szCs w:val="24"/>
                <w:lang w:val="en-US" w:eastAsia="zh-CN"/>
              </w:rPr>
              <w:t>等角色</w:t>
            </w:r>
            <w:r>
              <w:rPr>
                <w:rFonts w:hint="eastAsia" w:ascii="宋体" w:hAnsi="宋体" w:eastAsia="宋体" w:cs="宋体"/>
                <w:color w:val="auto"/>
                <w:sz w:val="24"/>
                <w:szCs w:val="24"/>
              </w:rPr>
              <w:t>）</w:t>
            </w:r>
            <w:r>
              <w:rPr>
                <w:rFonts w:hint="eastAsia" w:ascii="宋体" w:hAnsi="宋体" w:eastAsia="宋体" w:cs="宋体"/>
                <w:sz w:val="24"/>
                <w:szCs w:val="24"/>
              </w:rPr>
              <w:t>，支持多因素认证（账号密码+手机验证码），操作日志保留≥1年；</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数据合规：用户数据收集需符合《个人信息保护法》，无违规采集、泄露，支持数据导出（用户自主申请）、注销（数据永久删除）。</w:t>
            </w:r>
          </w:p>
          <w:p>
            <w:pPr>
              <w:pStyle w:val="3"/>
              <w:pageBreakBefore w:val="0"/>
              <w:widowControl/>
              <w:suppressLineNumbers w:val="0"/>
              <w:kinsoku/>
              <w:wordWrap/>
              <w:overflowPunct/>
              <w:topLinePunct w:val="0"/>
              <w:autoSpaceDE/>
              <w:autoSpaceDN/>
              <w:bidi w:val="0"/>
              <w:snapToGrid/>
              <w:spacing w:before="0" w:beforeAutospacing="0" w:after="0" w:afterAutospacing="0" w:line="460" w:lineRule="exact"/>
              <w:ind w:left="0" w:right="0" w:firstLine="0"/>
              <w:jc w:val="both"/>
              <w:rPr>
                <w:rFonts w:hint="eastAsia" w:ascii="宋体" w:hAnsi="宋体" w:eastAsia="宋体" w:cs="宋体"/>
                <w:sz w:val="24"/>
                <w:szCs w:val="24"/>
              </w:rPr>
            </w:pPr>
            <w:r>
              <w:rPr>
                <w:rFonts w:hint="eastAsia" w:ascii="宋体" w:hAnsi="宋体" w:eastAsia="宋体" w:cs="宋体"/>
                <w:sz w:val="24"/>
                <w:szCs w:val="24"/>
              </w:rPr>
              <w:t>服务要求</w:t>
            </w:r>
          </w:p>
          <w:p>
            <w:pPr>
              <w:pStyle w:val="4"/>
              <w:pageBreakBefore w:val="0"/>
              <w:widowControl/>
              <w:suppressLineNumbers w:val="0"/>
              <w:kinsoku/>
              <w:wordWrap/>
              <w:overflowPunct/>
              <w:topLinePunct w:val="0"/>
              <w:autoSpaceDE/>
              <w:autoSpaceDN/>
              <w:bidi w:val="0"/>
              <w:snapToGrid/>
              <w:spacing w:before="0" w:beforeAutospacing="0" w:after="0" w:afterAutospacing="0" w:line="460" w:lineRule="exact"/>
              <w:ind w:left="0" w:right="0" w:firstLine="0"/>
              <w:jc w:val="both"/>
              <w:rPr>
                <w:rFonts w:hint="eastAsia" w:ascii="宋体" w:hAnsi="宋体" w:eastAsia="宋体" w:cs="宋体"/>
                <w:sz w:val="24"/>
                <w:szCs w:val="24"/>
              </w:rPr>
            </w:pPr>
            <w:r>
              <w:rPr>
                <w:rFonts w:hint="eastAsia" w:ascii="宋体" w:hAnsi="宋体" w:eastAsia="宋体" w:cs="宋体"/>
                <w:sz w:val="24"/>
                <w:szCs w:val="24"/>
              </w:rPr>
              <w:t>（一）运营维护服务</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sz w:val="24"/>
                <w:szCs w:val="24"/>
                <w:lang w:eastAsia="zh-CN"/>
              </w:rPr>
            </w:pPr>
            <w:r>
              <w:rPr>
                <w:rFonts w:hint="eastAsia" w:ascii="宋体" w:hAnsi="宋体" w:eastAsia="宋体" w:cs="宋体"/>
                <w:sz w:val="24"/>
                <w:szCs w:val="24"/>
              </w:rPr>
              <w:t>1.技术支持：提供7×24小时支持（响应时间≤4小时）</w:t>
            </w:r>
            <w:r>
              <w:rPr>
                <w:rFonts w:hint="eastAsia" w:ascii="宋体" w:hAnsi="宋体" w:eastAsia="宋体" w:cs="宋体"/>
                <w:color w:val="FF0000"/>
                <w:sz w:val="24"/>
                <w:szCs w:val="24"/>
                <w:lang w:eastAsia="zh-CN"/>
              </w:rPr>
              <w:t>；</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sz w:val="24"/>
                <w:szCs w:val="24"/>
                <w:lang w:eastAsia="zh-CN"/>
              </w:rPr>
            </w:pPr>
            <w:r>
              <w:rPr>
                <w:rFonts w:hint="eastAsia" w:ascii="宋体" w:hAnsi="宋体" w:eastAsia="宋体" w:cs="宋体"/>
                <w:color w:val="000000"/>
                <w:sz w:val="24"/>
                <w:szCs w:val="24"/>
              </w:rPr>
              <w:t>2.</w:t>
            </w:r>
            <w:r>
              <w:rPr>
                <w:rFonts w:hint="eastAsia" w:ascii="宋体" w:hAnsi="宋体" w:eastAsia="宋体" w:cs="宋体"/>
                <w:sz w:val="24"/>
                <w:szCs w:val="24"/>
              </w:rPr>
              <w:t>定期巡检：每月</w:t>
            </w:r>
            <w:r>
              <w:rPr>
                <w:rFonts w:hint="eastAsia" w:ascii="宋体" w:hAnsi="宋体" w:eastAsia="宋体" w:cs="宋体"/>
                <w:sz w:val="24"/>
                <w:szCs w:val="24"/>
                <w:lang w:eastAsia="zh-CN"/>
              </w:rPr>
              <w:t>≥</w:t>
            </w:r>
            <w:r>
              <w:rPr>
                <w:rFonts w:hint="eastAsia" w:ascii="宋体" w:hAnsi="宋体" w:eastAsia="宋体" w:cs="宋体"/>
                <w:sz w:val="24"/>
                <w:szCs w:val="24"/>
              </w:rPr>
              <w:t>1次远程巡检（检查硬件状态、软件日志、数据备份</w:t>
            </w:r>
            <w:r>
              <w:rPr>
                <w:rFonts w:hint="eastAsia" w:ascii="宋体" w:hAnsi="宋体" w:eastAsia="宋体" w:cs="宋体"/>
                <w:sz w:val="24"/>
                <w:szCs w:val="24"/>
                <w:lang w:eastAsia="zh-CN"/>
              </w:rPr>
              <w:t>等</w:t>
            </w:r>
            <w:r>
              <w:rPr>
                <w:rFonts w:hint="eastAsia" w:ascii="宋体" w:hAnsi="宋体" w:eastAsia="宋体" w:cs="宋体"/>
                <w:sz w:val="24"/>
                <w:szCs w:val="24"/>
              </w:rPr>
              <w:t>）</w:t>
            </w:r>
            <w:r>
              <w:rPr>
                <w:rFonts w:hint="eastAsia" w:ascii="宋体" w:hAnsi="宋体" w:eastAsia="宋体" w:cs="宋体"/>
                <w:color w:val="FF0000"/>
                <w:sz w:val="24"/>
                <w:szCs w:val="24"/>
                <w:lang w:eastAsia="zh-CN"/>
              </w:rPr>
              <w:t>；</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故障处理：建立</w:t>
            </w:r>
            <w:r>
              <w:rPr>
                <w:rFonts w:hint="eastAsia" w:ascii="宋体" w:hAnsi="宋体" w:eastAsia="宋体" w:cs="宋体"/>
                <w:color w:val="auto"/>
                <w:sz w:val="24"/>
                <w:szCs w:val="24"/>
              </w:rPr>
              <w:t>故障台账，记录故障原因、处理过程、结果，重大故障（如服务器宕机、平台瘫痪）</w:t>
            </w:r>
            <w:r>
              <w:rPr>
                <w:rFonts w:hint="eastAsia" w:ascii="宋体" w:hAnsi="宋体" w:eastAsia="宋体" w:cs="宋体"/>
                <w:color w:val="auto"/>
                <w:sz w:val="24"/>
                <w:szCs w:val="24"/>
                <w:lang w:eastAsia="zh-CN"/>
              </w:rPr>
              <w:t>等内容，</w:t>
            </w:r>
            <w:r>
              <w:rPr>
                <w:rFonts w:hint="eastAsia" w:ascii="宋体" w:hAnsi="宋体" w:eastAsia="宋体" w:cs="宋体"/>
                <w:color w:val="auto"/>
                <w:sz w:val="24"/>
                <w:szCs w:val="24"/>
              </w:rPr>
              <w:t>需出具故障分析报告及预防方案。</w:t>
            </w:r>
          </w:p>
          <w:p>
            <w:pPr>
              <w:pStyle w:val="4"/>
              <w:pageBreakBefore w:val="0"/>
              <w:widowControl/>
              <w:suppressLineNumbers w:val="0"/>
              <w:kinsoku/>
              <w:wordWrap/>
              <w:overflowPunct/>
              <w:topLinePunct w:val="0"/>
              <w:autoSpaceDE/>
              <w:autoSpaceDN/>
              <w:bidi w:val="0"/>
              <w:snapToGrid/>
              <w:spacing w:before="0" w:beforeAutospacing="0" w:after="0" w:afterAutospacing="0" w:line="460" w:lineRule="exact"/>
              <w:ind w:left="0" w:right="0"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（二）升级更新服务</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1.软件升级：每半年至少1次功能升级（基于用户需求及行业发展），每月至少1次安全补丁更新（24小时内推送），升级前提供方案（含时间、内容、影响范围），升级后进行测试（确保功能正常）；</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2.数据更新：古籍库每年补充≥10部权威典籍，经方库每季度更新≥50个临床案例，中药库每季度补充≥20种中药鉴别要点，药膳库每季度新增≥20道配方；</w:t>
            </w:r>
          </w:p>
          <w:p>
            <w:pPr>
              <w:pStyle w:val="65"/>
              <w:keepNext w:val="0"/>
              <w:keepLines w:val="0"/>
              <w:pageBreakBefore w:val="0"/>
              <w:widowControl/>
              <w:numPr>
                <w:ilvl w:val="0"/>
                <w:numId w:val="0"/>
              </w:numPr>
              <w:suppressLineNumbers w:val="0"/>
              <w:kinsoku/>
              <w:wordWrap/>
              <w:overflowPunct/>
              <w:topLinePunct w:val="0"/>
              <w:autoSpaceDE/>
              <w:autoSpaceDN/>
              <w:bidi w:val="0"/>
              <w:snapToGrid/>
              <w:spacing w:before="0" w:beforeAutospacing="0" w:after="0" w:afterAutospacing="0" w:line="460" w:lineRule="exact"/>
              <w:ind w:left="0" w:leftChars="0" w:right="0" w:firstLine="0" w:firstLineChars="0"/>
              <w:rPr>
                <w:rFonts w:hint="eastAsia" w:ascii="宋体" w:hAnsi="宋体" w:eastAsia="宋体" w:cs="宋体"/>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sz w:val="24"/>
                <w:szCs w:val="24"/>
              </w:rPr>
              <w:t>培训服务：提供平台操作培训（针对</w:t>
            </w:r>
            <w:r>
              <w:rPr>
                <w:rFonts w:hint="eastAsia" w:ascii="宋体" w:hAnsi="宋体" w:eastAsia="宋体" w:cs="宋体"/>
                <w:color w:val="auto"/>
                <w:sz w:val="24"/>
                <w:szCs w:val="24"/>
                <w:lang w:eastAsia="zh-CN"/>
              </w:rPr>
              <w:t>包含但不限于</w:t>
            </w:r>
            <w:r>
              <w:rPr>
                <w:rFonts w:hint="eastAsia" w:ascii="宋体" w:hAnsi="宋体" w:eastAsia="宋体" w:cs="宋体"/>
                <w:color w:val="auto"/>
                <w:sz w:val="24"/>
                <w:szCs w:val="24"/>
              </w:rPr>
              <w:t>管理员、教师、基层医生</w:t>
            </w:r>
            <w:r>
              <w:rPr>
                <w:rFonts w:hint="eastAsia" w:ascii="宋体" w:hAnsi="宋体" w:eastAsia="宋体" w:cs="宋体"/>
                <w:color w:val="auto"/>
                <w:sz w:val="24"/>
                <w:szCs w:val="24"/>
                <w:lang w:eastAsia="zh-CN"/>
              </w:rPr>
              <w:t>等人员</w:t>
            </w:r>
            <w:r>
              <w:rPr>
                <w:rFonts w:hint="eastAsia" w:ascii="宋体" w:hAnsi="宋体" w:eastAsia="宋体" w:cs="宋体"/>
                <w:color w:val="auto"/>
                <w:sz w:val="24"/>
                <w:szCs w:val="24"/>
              </w:rPr>
              <w:t>），首次培训≥2次（线上），后续每年≥1次复训，提供培训手册</w:t>
            </w:r>
            <w:r>
              <w:rPr>
                <w:rFonts w:hint="eastAsia" w:ascii="宋体" w:hAnsi="宋体" w:eastAsia="宋体" w:cs="宋体"/>
                <w:sz w:val="24"/>
                <w:szCs w:val="24"/>
              </w:rPr>
              <w:t>（纸质+电子）。</w:t>
            </w:r>
          </w:p>
        </w:tc>
      </w:tr>
    </w:tbl>
    <w:p>
      <w:pPr>
        <w:keepNext w:val="0"/>
        <w:keepLines w:val="0"/>
        <w:pageBreakBefore w:val="0"/>
        <w:widowControl/>
        <w:kinsoku w:val="0"/>
        <w:wordWrap/>
        <w:overflowPunct/>
        <w:topLinePunct w:val="0"/>
        <w:autoSpaceDE w:val="0"/>
        <w:autoSpaceDN w:val="0"/>
        <w:bidi w:val="0"/>
        <w:adjustRightInd w:val="0"/>
        <w:snapToGrid w:val="0"/>
        <w:spacing w:line="460" w:lineRule="exact"/>
        <w:ind w:firstLine="478" w:firstLineChars="200"/>
        <w:textAlignment w:val="baseline"/>
        <w:rPr>
          <w:rFonts w:hint="eastAsia" w:ascii="宋体" w:hAnsi="宋体"/>
          <w:b/>
          <w:sz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478" w:firstLineChars="200"/>
        <w:textAlignment w:val="baseline"/>
        <w:rPr>
          <w:rFonts w:hint="eastAsia" w:ascii="宋体" w:hAnsi="宋体" w:cs="宋体"/>
          <w:b/>
          <w:bCs/>
          <w:color w:val="000000"/>
          <w:spacing w:val="2"/>
          <w:kern w:val="0"/>
          <w:sz w:val="24"/>
          <w:highlight w:val="none"/>
        </w:rPr>
      </w:pPr>
      <w:r>
        <w:rPr>
          <w:rFonts w:hint="eastAsia" w:ascii="宋体" w:hAnsi="宋体"/>
          <w:b/>
          <w:sz w:val="24"/>
          <w:highlight w:val="none"/>
        </w:rPr>
        <w:t>注：以上“技术要求”为实质性要求，必须完全满足，否则响应无效。</w:t>
      </w:r>
    </w:p>
    <w:p>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78" w:firstLineChars="200"/>
        <w:textAlignment w:val="baseline"/>
        <w:rPr>
          <w:rFonts w:hint="eastAsia"/>
          <w:b/>
          <w:bCs/>
          <w:color w:val="auto"/>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78" w:firstLineChars="200"/>
        <w:textAlignment w:val="baseline"/>
        <w:rPr>
          <w:rFonts w:hint="default" w:eastAsia="宋体"/>
          <w:b/>
          <w:bCs/>
          <w:color w:val="auto"/>
          <w:lang w:val="en-US" w:eastAsia="zh-CN"/>
        </w:rPr>
      </w:pPr>
      <w:r>
        <w:rPr>
          <w:rFonts w:hint="eastAsia"/>
          <w:b/>
          <w:bCs/>
          <w:color w:val="auto"/>
          <w:lang w:eastAsia="zh-CN"/>
        </w:rPr>
        <w:t>（</w:t>
      </w:r>
      <w:r>
        <w:rPr>
          <w:rFonts w:hint="eastAsia"/>
          <w:b/>
          <w:bCs/>
          <w:color w:val="auto"/>
          <w:lang w:val="en-US" w:eastAsia="zh-CN"/>
        </w:rPr>
        <w:t>三）商务要求</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54"/>
        <w:gridCol w:w="1606"/>
        <w:gridCol w:w="6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需求名称</w:t>
            </w:r>
          </w:p>
        </w:tc>
        <w:tc>
          <w:tcPr>
            <w:tcW w:w="6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交货地点</w:t>
            </w:r>
          </w:p>
        </w:tc>
        <w:tc>
          <w:tcPr>
            <w:tcW w:w="6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bCs/>
                <w:kern w:val="0"/>
                <w:sz w:val="24"/>
                <w:szCs w:val="24"/>
              </w:rPr>
            </w:pPr>
            <w:r>
              <w:rPr>
                <w:rFonts w:hint="eastAsia" w:ascii="宋体" w:hAnsi="宋体" w:eastAsia="宋体" w:cs="宋体"/>
                <w:bCs/>
                <w:sz w:val="24"/>
                <w:szCs w:val="24"/>
              </w:rPr>
              <w:t>采购人</w:t>
            </w:r>
            <w:r>
              <w:rPr>
                <w:rFonts w:hint="eastAsia" w:ascii="宋体" w:hAnsi="宋体" w:eastAsia="宋体" w:cs="宋体"/>
                <w:color w:val="000000"/>
                <w:sz w:val="24"/>
                <w:szCs w:val="24"/>
              </w:rPr>
              <w:t>指定地点</w:t>
            </w:r>
            <w:r>
              <w:rPr>
                <w:rFonts w:hint="eastAsia" w:ascii="宋体" w:hAnsi="宋体" w:eastAsia="宋体" w:cs="宋体"/>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交货期限</w:t>
            </w:r>
          </w:p>
        </w:tc>
        <w:tc>
          <w:tcPr>
            <w:tcW w:w="6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trike/>
                <w:color w:val="FF0000"/>
                <w:sz w:val="24"/>
                <w:szCs w:val="24"/>
              </w:rPr>
            </w:pPr>
            <w:r>
              <w:rPr>
                <w:rFonts w:hint="eastAsia" w:ascii="宋体" w:hAnsi="宋体" w:eastAsia="宋体" w:cs="宋体"/>
                <w:b w:val="0"/>
                <w:bCs w:val="0"/>
                <w:color w:val="auto"/>
                <w:sz w:val="24"/>
                <w:szCs w:val="24"/>
                <w:highlight w:val="none"/>
                <w:shd w:val="clear" w:color="auto" w:fill="FFFFFF"/>
              </w:rPr>
              <w:t>签订合同后</w:t>
            </w:r>
            <w:r>
              <w:rPr>
                <w:rFonts w:hint="eastAsia" w:ascii="宋体" w:hAnsi="宋体" w:cs="宋体"/>
                <w:b w:val="0"/>
                <w:bCs w:val="0"/>
                <w:color w:val="auto"/>
                <w:sz w:val="24"/>
                <w:szCs w:val="24"/>
                <w:highlight w:val="none"/>
                <w:shd w:val="clear" w:color="auto" w:fill="FFFFFF"/>
                <w:lang w:val="en-US" w:eastAsia="zh-CN"/>
              </w:rPr>
              <w:t>7个工作日</w:t>
            </w:r>
            <w:r>
              <w:rPr>
                <w:rFonts w:hint="eastAsia" w:ascii="宋体" w:hAnsi="宋体" w:eastAsia="宋体" w:cs="宋体"/>
                <w:b w:val="0"/>
                <w:bCs w:val="0"/>
                <w:color w:val="auto"/>
                <w:sz w:val="24"/>
                <w:szCs w:val="24"/>
                <w:highlight w:val="none"/>
                <w:shd w:val="clear" w:color="auto" w:fill="FFFFFF"/>
              </w:rPr>
              <w:t>内交付使用，</w:t>
            </w:r>
            <w:r>
              <w:rPr>
                <w:rFonts w:hint="eastAsia" w:ascii="宋体" w:hAnsi="宋体" w:eastAsia="宋体" w:cs="宋体"/>
                <w:b w:val="0"/>
                <w:bCs w:val="0"/>
                <w:color w:val="auto"/>
                <w:sz w:val="24"/>
                <w:szCs w:val="24"/>
                <w:highlight w:val="none"/>
                <w:shd w:val="clear" w:color="auto" w:fill="FFFFFF"/>
                <w:lang w:eastAsia="zh-CN"/>
              </w:rPr>
              <w:t>服务期从</w:t>
            </w:r>
            <w:r>
              <w:rPr>
                <w:rFonts w:hint="eastAsia" w:ascii="宋体" w:hAnsi="宋体" w:eastAsia="宋体" w:cs="宋体"/>
                <w:b w:val="0"/>
                <w:bCs w:val="0"/>
                <w:color w:val="auto"/>
                <w:sz w:val="24"/>
                <w:szCs w:val="24"/>
                <w:highlight w:val="none"/>
                <w:shd w:val="clear" w:color="auto" w:fill="FFFFFF"/>
              </w:rPr>
              <w:t>合同签订生效之日起</w:t>
            </w:r>
            <w:r>
              <w:rPr>
                <w:rFonts w:hint="eastAsia" w:ascii="宋体" w:hAnsi="宋体" w:eastAsia="宋体" w:cs="宋体"/>
                <w:b w:val="0"/>
                <w:bCs w:val="0"/>
                <w:color w:val="auto"/>
                <w:sz w:val="24"/>
                <w:szCs w:val="24"/>
                <w:highlight w:val="none"/>
                <w:shd w:val="clear" w:color="auto" w:fill="FFFFFF"/>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付款方式</w:t>
            </w:r>
          </w:p>
        </w:tc>
        <w:tc>
          <w:tcPr>
            <w:tcW w:w="6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bCs/>
                <w:kern w:val="0"/>
                <w:sz w:val="24"/>
                <w:szCs w:val="24"/>
              </w:rPr>
            </w:pPr>
            <w:r>
              <w:rPr>
                <w:rFonts w:hint="eastAsia" w:ascii="宋体" w:hAnsi="宋体" w:eastAsia="宋体" w:cs="宋体"/>
                <w:sz w:val="24"/>
                <w:szCs w:val="24"/>
              </w:rPr>
              <w:t>项目验收合格后，凭成交供应商开具税务发票等付款所需的相关有效凭证于</w:t>
            </w:r>
            <w:r>
              <w:rPr>
                <w:rFonts w:hint="eastAsia" w:ascii="宋体" w:hAnsi="宋体" w:eastAsia="宋体" w:cs="宋体"/>
                <w:sz w:val="24"/>
                <w:szCs w:val="24"/>
                <w:lang w:val="en-US" w:eastAsia="zh-CN"/>
              </w:rPr>
              <w:t>10个工作日</w:t>
            </w:r>
            <w:r>
              <w:rPr>
                <w:rFonts w:hint="eastAsia" w:ascii="宋体" w:hAnsi="宋体" w:eastAsia="宋体" w:cs="宋体"/>
                <w:sz w:val="24"/>
                <w:szCs w:val="24"/>
              </w:rPr>
              <w:t>内支付合同款的100%。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报价方式</w:t>
            </w:r>
          </w:p>
        </w:tc>
        <w:tc>
          <w:tcPr>
            <w:tcW w:w="6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trike/>
                <w:kern w:val="0"/>
                <w:sz w:val="24"/>
                <w:szCs w:val="24"/>
              </w:rPr>
            </w:pPr>
            <w:r>
              <w:rPr>
                <w:rFonts w:hint="eastAsia" w:ascii="宋体" w:hAnsi="宋体" w:eastAsia="宋体" w:cs="宋体"/>
                <w:sz w:val="24"/>
                <w:szCs w:val="24"/>
              </w:rPr>
              <w:t>以人民币报价，合同总价包括成交供应商按本合同规定向采购人出售合同项目的一切费用，包括合同货物及其税收、包装、运输、装卸、安装、调试、验收、售后服务及对应的技术资料等费用。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验</w:t>
            </w:r>
            <w:r>
              <w:rPr>
                <w:rFonts w:hint="eastAsia" w:ascii="宋体" w:hAnsi="宋体" w:eastAsia="宋体" w:cs="宋体"/>
                <w:sz w:val="24"/>
                <w:szCs w:val="24"/>
              </w:rPr>
              <w:t>收</w:t>
            </w:r>
          </w:p>
        </w:tc>
        <w:tc>
          <w:tcPr>
            <w:tcW w:w="6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由</w:t>
            </w:r>
            <w:r>
              <w:rPr>
                <w:rFonts w:hint="eastAsia" w:ascii="宋体" w:hAnsi="宋体" w:eastAsia="宋体" w:cs="宋体"/>
                <w:sz w:val="24"/>
                <w:szCs w:val="24"/>
                <w:lang w:eastAsia="zh-CN"/>
              </w:rPr>
              <w:t>采购人组织验收小组</w:t>
            </w:r>
            <w:r>
              <w:rPr>
                <w:rFonts w:hint="eastAsia" w:ascii="宋体" w:hAnsi="宋体" w:eastAsia="宋体" w:cs="宋体"/>
                <w:sz w:val="24"/>
                <w:szCs w:val="24"/>
              </w:rPr>
              <w:t>对成交供应商所供</w:t>
            </w:r>
            <w:r>
              <w:rPr>
                <w:rFonts w:hint="eastAsia" w:ascii="宋体" w:hAnsi="宋体" w:eastAsia="宋体" w:cs="宋体"/>
                <w:sz w:val="24"/>
                <w:szCs w:val="24"/>
                <w:lang w:eastAsia="zh-CN"/>
              </w:rPr>
              <w:t>服务</w:t>
            </w:r>
            <w:r>
              <w:rPr>
                <w:rFonts w:hint="eastAsia" w:ascii="宋体" w:hAnsi="宋体" w:eastAsia="宋体" w:cs="宋体"/>
                <w:sz w:val="24"/>
                <w:szCs w:val="24"/>
              </w:rPr>
              <w:t>按照</w:t>
            </w:r>
            <w:r>
              <w:rPr>
                <w:rFonts w:hint="eastAsia" w:ascii="宋体" w:hAnsi="宋体" w:eastAsia="宋体" w:cs="宋体"/>
                <w:sz w:val="24"/>
                <w:szCs w:val="24"/>
                <w:lang w:eastAsia="zh-CN"/>
              </w:rPr>
              <w:t>磋商文件</w:t>
            </w:r>
            <w:r>
              <w:rPr>
                <w:rFonts w:hint="eastAsia" w:ascii="宋体" w:hAnsi="宋体" w:eastAsia="宋体" w:cs="宋体"/>
                <w:sz w:val="24"/>
                <w:szCs w:val="24"/>
              </w:rPr>
              <w:t>技术、商务要求</w:t>
            </w:r>
            <w:r>
              <w:rPr>
                <w:rFonts w:hint="eastAsia" w:ascii="宋体" w:hAnsi="宋体" w:eastAsia="宋体" w:cs="宋体"/>
                <w:sz w:val="24"/>
                <w:szCs w:val="24"/>
                <w:lang w:eastAsia="zh-CN"/>
              </w:rPr>
              <w:t>及合同约定内容</w:t>
            </w:r>
            <w:r>
              <w:rPr>
                <w:rFonts w:hint="eastAsia" w:ascii="宋体" w:hAnsi="宋体" w:eastAsia="宋体" w:cs="宋体"/>
                <w:sz w:val="24"/>
                <w:szCs w:val="24"/>
              </w:rPr>
              <w:t>进行验收。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）成交供应商根据</w:t>
            </w:r>
            <w:r>
              <w:rPr>
                <w:rFonts w:hint="eastAsia" w:ascii="宋体" w:hAnsi="宋体" w:eastAsia="宋体" w:cs="宋体"/>
                <w:sz w:val="24"/>
                <w:szCs w:val="24"/>
                <w:lang w:eastAsia="zh-CN"/>
              </w:rPr>
              <w:t>采购人</w:t>
            </w:r>
            <w:r>
              <w:rPr>
                <w:rFonts w:hint="eastAsia" w:ascii="宋体" w:hAnsi="宋体" w:eastAsia="宋体" w:cs="宋体"/>
                <w:sz w:val="24"/>
                <w:szCs w:val="24"/>
              </w:rPr>
              <w:t>要求提供完整的交接文档，不限于数据字典，使用手册、对接文档、部署方案、安装文件等。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）验收前要进行系统试运行，试运行无问题或试运行出现的问题都修复后，双方签署《试运行情况报告》后才进行验收。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售后服务</w:t>
            </w:r>
          </w:p>
        </w:tc>
        <w:tc>
          <w:tcPr>
            <w:tcW w:w="6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自</w:t>
            </w:r>
            <w:r>
              <w:rPr>
                <w:rFonts w:hint="eastAsia" w:ascii="宋体" w:hAnsi="宋体" w:eastAsia="宋体" w:cs="宋体"/>
                <w:sz w:val="24"/>
                <w:szCs w:val="24"/>
                <w:lang w:eastAsia="zh-CN"/>
              </w:rPr>
              <w:t>项目</w:t>
            </w:r>
            <w:r>
              <w:rPr>
                <w:rFonts w:hint="eastAsia" w:ascii="宋体" w:hAnsi="宋体" w:eastAsia="宋体" w:cs="宋体"/>
                <w:sz w:val="24"/>
                <w:szCs w:val="24"/>
              </w:rPr>
              <w:t>验收合格之日起，</w:t>
            </w:r>
            <w:r>
              <w:rPr>
                <w:rFonts w:hint="eastAsia" w:ascii="宋体" w:hAnsi="宋体" w:eastAsia="宋体" w:cs="宋体"/>
                <w:sz w:val="24"/>
                <w:szCs w:val="24"/>
                <w:lang w:val="en-US" w:eastAsia="zh-CN"/>
              </w:rPr>
              <w:t>在服务期间内提供</w:t>
            </w:r>
            <w:r>
              <w:rPr>
                <w:rFonts w:hint="eastAsia" w:ascii="宋体" w:hAnsi="宋体" w:eastAsia="宋体" w:cs="宋体"/>
                <w:sz w:val="24"/>
                <w:szCs w:val="24"/>
              </w:rPr>
              <w:t>运营维护、升级更新</w:t>
            </w:r>
            <w:r>
              <w:rPr>
                <w:rFonts w:hint="eastAsia" w:ascii="宋体" w:hAnsi="宋体" w:eastAsia="宋体" w:cs="宋体"/>
                <w:sz w:val="24"/>
                <w:szCs w:val="24"/>
                <w:lang w:eastAsia="zh-CN"/>
              </w:rPr>
              <w:t>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color w:val="auto"/>
                <w:sz w:val="24"/>
                <w:szCs w:val="24"/>
                <w:lang w:val="en-US" w:eastAsia="zh-CN"/>
              </w:rPr>
              <w:t>服务期内</w:t>
            </w:r>
            <w:r>
              <w:rPr>
                <w:rFonts w:hint="eastAsia" w:ascii="宋体" w:hAnsi="宋体" w:eastAsia="宋体" w:cs="宋体"/>
                <w:color w:val="auto"/>
                <w:sz w:val="24"/>
                <w:szCs w:val="24"/>
              </w:rPr>
              <w:t>成交供</w:t>
            </w:r>
            <w:r>
              <w:rPr>
                <w:rFonts w:hint="eastAsia" w:ascii="宋体" w:hAnsi="宋体" w:eastAsia="宋体" w:cs="宋体"/>
                <w:sz w:val="24"/>
                <w:szCs w:val="24"/>
              </w:rPr>
              <w:t>应商所提供运营维护、升级</w:t>
            </w:r>
            <w:r>
              <w:rPr>
                <w:rFonts w:hint="eastAsia" w:ascii="宋体" w:hAnsi="宋体" w:eastAsia="宋体" w:cs="宋体"/>
                <w:sz w:val="24"/>
                <w:szCs w:val="24"/>
                <w:lang w:eastAsia="zh-CN"/>
              </w:rPr>
              <w:t>等</w:t>
            </w:r>
            <w:r>
              <w:rPr>
                <w:rFonts w:hint="eastAsia" w:ascii="宋体" w:hAnsi="宋体" w:eastAsia="宋体" w:cs="宋体"/>
                <w:sz w:val="24"/>
                <w:szCs w:val="24"/>
              </w:rPr>
              <w:t>技术服务不收取任何费用（含运输、关税、材料、人工、差旅等费用）。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项目在使</w:t>
            </w:r>
            <w:r>
              <w:rPr>
                <w:rFonts w:hint="eastAsia" w:ascii="宋体" w:hAnsi="宋体" w:eastAsia="宋体" w:cs="宋体"/>
                <w:sz w:val="24"/>
                <w:szCs w:val="24"/>
                <w:highlight w:val="none"/>
                <w:lang w:eastAsia="zh-CN"/>
              </w:rPr>
              <w:t>用期间</w:t>
            </w:r>
            <w:r>
              <w:rPr>
                <w:rFonts w:hint="eastAsia" w:ascii="宋体" w:hAnsi="宋体" w:eastAsia="宋体" w:cs="宋体"/>
                <w:sz w:val="24"/>
                <w:szCs w:val="24"/>
                <w:highlight w:val="none"/>
              </w:rPr>
              <w:t>，如出现</w:t>
            </w:r>
            <w:r>
              <w:rPr>
                <w:rFonts w:hint="eastAsia" w:ascii="宋体" w:hAnsi="宋体" w:eastAsia="宋体" w:cs="宋体"/>
                <w:sz w:val="24"/>
                <w:szCs w:val="24"/>
                <w:highlight w:val="none"/>
                <w:lang w:eastAsia="zh-CN"/>
              </w:rPr>
              <w:t>运行</w:t>
            </w:r>
            <w:r>
              <w:rPr>
                <w:rFonts w:hint="eastAsia" w:ascii="宋体" w:hAnsi="宋体" w:eastAsia="宋体" w:cs="宋体"/>
                <w:sz w:val="24"/>
                <w:szCs w:val="24"/>
                <w:highlight w:val="none"/>
              </w:rPr>
              <w:t>故障，成交供应商在接到采购人通知后</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小时内须做出响应，</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小时内给予技术支持或到达现场维</w:t>
            </w:r>
            <w:r>
              <w:rPr>
                <w:rFonts w:hint="eastAsia" w:ascii="宋体" w:hAnsi="宋体" w:eastAsia="宋体" w:cs="宋体"/>
                <w:sz w:val="24"/>
                <w:szCs w:val="24"/>
                <w:highlight w:val="none"/>
                <w:lang w:eastAsia="zh-CN"/>
              </w:rPr>
              <w:t>护</w:t>
            </w:r>
            <w:r>
              <w:rPr>
                <w:rFonts w:hint="eastAsia" w:ascii="宋体" w:hAnsi="宋体" w:eastAsia="宋体" w:cs="宋体"/>
                <w:sz w:val="24"/>
                <w:szCs w:val="24"/>
                <w:highlight w:val="none"/>
              </w:rPr>
              <w:t>排除故障。如成交供应商未在规</w:t>
            </w:r>
            <w:r>
              <w:rPr>
                <w:rFonts w:hint="eastAsia" w:ascii="宋体" w:hAnsi="宋体" w:eastAsia="宋体" w:cs="宋体"/>
                <w:sz w:val="24"/>
                <w:szCs w:val="24"/>
              </w:rPr>
              <w:t>定时间排除故障或</w:t>
            </w:r>
            <w:r>
              <w:rPr>
                <w:rFonts w:hint="eastAsia" w:ascii="宋体" w:hAnsi="宋体" w:eastAsia="宋体" w:cs="宋体"/>
                <w:sz w:val="24"/>
                <w:szCs w:val="24"/>
                <w:lang w:eastAsia="zh-CN"/>
              </w:rPr>
              <w:t>解决</w:t>
            </w:r>
            <w:r>
              <w:rPr>
                <w:rFonts w:hint="eastAsia" w:ascii="宋体" w:hAnsi="宋体" w:eastAsia="宋体" w:cs="宋体"/>
                <w:sz w:val="24"/>
                <w:szCs w:val="24"/>
              </w:rPr>
              <w:t>问题，采购人有权委托第三方或自行修理，相关费用由成交供应商</w:t>
            </w:r>
            <w:r>
              <w:rPr>
                <w:rFonts w:hint="eastAsia" w:ascii="宋体" w:hAnsi="宋体" w:eastAsia="宋体" w:cs="宋体"/>
                <w:sz w:val="24"/>
                <w:szCs w:val="24"/>
                <w:lang w:eastAsia="zh-CN"/>
              </w:rPr>
              <w:t>承担</w:t>
            </w:r>
            <w:r>
              <w:rPr>
                <w:rFonts w:hint="eastAsia" w:ascii="宋体" w:hAnsi="宋体" w:eastAsia="宋体" w:cs="宋体"/>
                <w:sz w:val="24"/>
                <w:szCs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color w:val="auto"/>
                <w:sz w:val="24"/>
                <w:szCs w:val="24"/>
                <w:highlight w:val="none"/>
                <w:lang w:eastAsia="zh-CN"/>
              </w:rPr>
              <w:t>服务期</w:t>
            </w:r>
            <w:r>
              <w:rPr>
                <w:rFonts w:hint="eastAsia" w:ascii="宋体" w:hAnsi="宋体" w:cs="宋体"/>
                <w:color w:val="auto"/>
                <w:sz w:val="24"/>
                <w:szCs w:val="24"/>
                <w:highlight w:val="none"/>
              </w:rPr>
              <w:t>内配备1名</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以上固定的技术人员和</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名</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以上运维人员通过现场服务、远程技术服务、预防性服务、定期专访、远程监控等服务方式，</w:t>
            </w:r>
            <w:r>
              <w:rPr>
                <w:rFonts w:hint="eastAsia" w:ascii="宋体" w:hAnsi="宋体" w:cs="宋体"/>
                <w:color w:val="auto"/>
                <w:sz w:val="24"/>
                <w:szCs w:val="24"/>
                <w:highlight w:val="none"/>
                <w:lang w:eastAsia="zh-CN"/>
              </w:rPr>
              <w:t>向采购人提供平台</w:t>
            </w:r>
            <w:r>
              <w:rPr>
                <w:rFonts w:hint="eastAsia" w:ascii="宋体" w:hAnsi="宋体" w:cs="宋体"/>
                <w:color w:val="auto"/>
                <w:sz w:val="24"/>
                <w:szCs w:val="24"/>
                <w:highlight w:val="none"/>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bCs/>
                <w:sz w:val="24"/>
                <w:szCs w:val="24"/>
              </w:rPr>
              <w:t>知识产权归属和处理方式</w:t>
            </w:r>
          </w:p>
        </w:tc>
        <w:tc>
          <w:tcPr>
            <w:tcW w:w="67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eastAsia="宋体" w:cs="宋体"/>
                <w:sz w:val="24"/>
                <w:szCs w:val="24"/>
              </w:rPr>
            </w:pPr>
            <w:r>
              <w:rPr>
                <w:rFonts w:hint="eastAsia" w:ascii="宋体" w:hAnsi="宋体" w:eastAsia="宋体" w:cs="宋体"/>
                <w:color w:val="000000"/>
                <w:sz w:val="24"/>
                <w:szCs w:val="24"/>
              </w:rPr>
              <w:t>成交供应商应保证</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在使用本合同</w:t>
            </w:r>
            <w:r>
              <w:rPr>
                <w:rFonts w:hint="eastAsia" w:ascii="宋体" w:hAnsi="宋体" w:eastAsia="宋体" w:cs="宋体"/>
                <w:color w:val="000000"/>
                <w:sz w:val="24"/>
                <w:szCs w:val="24"/>
                <w:highlight w:val="none"/>
                <w:lang w:eastAsia="zh-CN"/>
              </w:rPr>
              <w:t>服务项目</w:t>
            </w:r>
            <w:r>
              <w:rPr>
                <w:rFonts w:hint="eastAsia" w:ascii="宋体" w:hAnsi="宋体" w:eastAsia="宋体" w:cs="宋体"/>
                <w:color w:val="000000"/>
                <w:sz w:val="24"/>
                <w:szCs w:val="24"/>
                <w:highlight w:val="none"/>
              </w:rPr>
              <w:t>或</w:t>
            </w:r>
            <w:r>
              <w:rPr>
                <w:rFonts w:hint="eastAsia" w:ascii="宋体" w:hAnsi="宋体" w:eastAsia="宋体" w:cs="宋体"/>
                <w:color w:val="000000"/>
                <w:sz w:val="24"/>
                <w:szCs w:val="24"/>
              </w:rPr>
              <w:t>其任何一部分时不受第三方提出侵犯专利权、商标权、著作权或其它知识产权起诉的指控。如果任何第三方提出侵权指控，成交供应商须与第三方交涉并承担可能发生的一切法律责任和费用。</w:t>
            </w:r>
          </w:p>
        </w:tc>
      </w:tr>
    </w:tbl>
    <w:p>
      <w:pPr>
        <w:pStyle w:val="7"/>
        <w:keepNext w:val="0"/>
        <w:keepLines w:val="0"/>
        <w:pageBreakBefore w:val="0"/>
        <w:widowControl/>
        <w:kinsoku w:val="0"/>
        <w:wordWrap/>
        <w:overflowPunct/>
        <w:topLinePunct w:val="0"/>
        <w:autoSpaceDE w:val="0"/>
        <w:autoSpaceDN w:val="0"/>
        <w:bidi w:val="0"/>
        <w:adjustRightInd w:val="0"/>
        <w:snapToGrid w:val="0"/>
        <w:ind w:left="0" w:leftChars="0" w:firstLine="478" w:firstLineChars="200"/>
        <w:textAlignment w:val="baseline"/>
        <w:rPr>
          <w:rFonts w:hint="eastAsia" w:ascii="宋体" w:hAnsi="宋体"/>
          <w:b/>
          <w:sz w:val="24"/>
          <w:highlight w:val="none"/>
        </w:rPr>
      </w:pPr>
      <w:r>
        <w:rPr>
          <w:rFonts w:hint="eastAsia" w:ascii="宋体" w:hAnsi="宋体"/>
          <w:b/>
          <w:sz w:val="24"/>
          <w:highlight w:val="none"/>
        </w:rPr>
        <w:t>注：以上“商务要求”为实质性要求，必须完全满足，否则响应无效。</w:t>
      </w:r>
    </w:p>
    <w:p>
      <w:pPr>
        <w:widowControl/>
        <w:numPr>
          <w:ilvl w:val="0"/>
          <w:numId w:val="0"/>
        </w:numPr>
        <w:spacing w:line="420" w:lineRule="exact"/>
        <w:jc w:val="left"/>
        <w:rPr>
          <w:rFonts w:hint="eastAsia" w:ascii="宋体" w:hAnsi="宋体" w:cs="宋体"/>
          <w:b/>
          <w:bCs/>
          <w:kern w:val="0"/>
          <w:sz w:val="24"/>
          <w:shd w:val="clear" w:color="auto" w:fill="FFFFFF"/>
          <w:lang w:val="en-US" w:eastAsia="zh-CN"/>
        </w:rPr>
      </w:pPr>
    </w:p>
    <w:p>
      <w:pPr>
        <w:widowControl/>
        <w:numPr>
          <w:ilvl w:val="0"/>
          <w:numId w:val="0"/>
        </w:numPr>
        <w:spacing w:line="420" w:lineRule="exact"/>
        <w:jc w:val="left"/>
        <w:rPr>
          <w:rFonts w:hint="default" w:ascii="宋体" w:hAnsi="宋体" w:cs="宋体"/>
          <w:b/>
          <w:bCs/>
          <w:kern w:val="0"/>
          <w:sz w:val="24"/>
          <w:shd w:val="clear" w:color="auto" w:fill="FFFFFF"/>
          <w:lang w:val="en-US" w:eastAsia="zh-CN"/>
        </w:rPr>
      </w:pPr>
      <w:r>
        <w:rPr>
          <w:rFonts w:hint="eastAsia" w:ascii="宋体" w:hAnsi="宋体" w:cs="宋体"/>
          <w:b/>
          <w:bCs/>
          <w:kern w:val="0"/>
          <w:sz w:val="24"/>
          <w:shd w:val="clear" w:color="auto" w:fill="FFFFFF"/>
          <w:lang w:val="en-US" w:eastAsia="zh-CN"/>
        </w:rPr>
        <w:t>四、拟定评审办法</w:t>
      </w:r>
    </w:p>
    <w:p>
      <w:pPr>
        <w:keepNext w:val="0"/>
        <w:keepLines w:val="0"/>
        <w:pageBreakBefore w:val="0"/>
        <w:tabs>
          <w:tab w:val="left" w:pos="284"/>
          <w:tab w:val="left" w:pos="993"/>
        </w:tabs>
        <w:wordWrap/>
        <w:overflowPunct/>
        <w:topLinePunct w:val="0"/>
        <w:bidi w:val="0"/>
        <w:spacing w:line="460" w:lineRule="exact"/>
        <w:ind w:firstLine="478" w:firstLineChars="200"/>
        <w:rPr>
          <w:rFonts w:hint="eastAsia" w:ascii="宋体" w:hAnsi="宋体"/>
          <w:b/>
          <w:bCs/>
          <w:sz w:val="24"/>
          <w:szCs w:val="24"/>
          <w:highlight w:val="none"/>
        </w:rPr>
      </w:pPr>
      <w:r>
        <w:rPr>
          <w:rFonts w:hint="eastAsia" w:ascii="宋体" w:hAnsi="宋体"/>
          <w:b/>
          <w:bCs/>
          <w:sz w:val="24"/>
          <w:szCs w:val="24"/>
          <w:highlight w:val="none"/>
          <w:lang w:eastAsia="zh-CN"/>
        </w:rPr>
        <w:t>（</w:t>
      </w:r>
      <w:r>
        <w:rPr>
          <w:rFonts w:hint="eastAsia" w:ascii="宋体" w:hAnsi="宋体"/>
          <w:b/>
          <w:bCs/>
          <w:sz w:val="24"/>
          <w:szCs w:val="24"/>
          <w:highlight w:val="none"/>
        </w:rPr>
        <w:t>一</w:t>
      </w:r>
      <w:r>
        <w:rPr>
          <w:rFonts w:hint="eastAsia" w:ascii="宋体" w:hAnsi="宋体"/>
          <w:b/>
          <w:bCs/>
          <w:sz w:val="24"/>
          <w:szCs w:val="24"/>
          <w:highlight w:val="none"/>
          <w:lang w:eastAsia="zh-CN"/>
        </w:rPr>
        <w:t>）</w:t>
      </w:r>
      <w:r>
        <w:rPr>
          <w:rFonts w:hint="eastAsia" w:ascii="宋体" w:hAnsi="宋体"/>
          <w:b/>
          <w:bCs/>
          <w:sz w:val="24"/>
          <w:szCs w:val="24"/>
          <w:highlight w:val="none"/>
        </w:rPr>
        <w:t>无效条款</w:t>
      </w:r>
    </w:p>
    <w:p>
      <w:pPr>
        <w:keepNext w:val="0"/>
        <w:keepLines w:val="0"/>
        <w:pageBreakBefore w:val="0"/>
        <w:widowControl w:val="0"/>
        <w:numPr>
          <w:ilvl w:val="0"/>
          <w:numId w:val="1"/>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ascii="宋体" w:hAnsi="宋体"/>
          <w:sz w:val="24"/>
          <w:szCs w:val="24"/>
          <w:highlight w:val="none"/>
        </w:rPr>
      </w:pPr>
      <w:r>
        <w:rPr>
          <w:rFonts w:hint="eastAsia" w:ascii="宋体" w:hAnsi="宋体"/>
          <w:sz w:val="24"/>
          <w:szCs w:val="24"/>
          <w:highlight w:val="none"/>
        </w:rPr>
        <w:t>未提交磋商响应文件；</w:t>
      </w:r>
    </w:p>
    <w:p>
      <w:pPr>
        <w:keepNext w:val="0"/>
        <w:keepLines w:val="0"/>
        <w:pageBreakBefore w:val="0"/>
        <w:widowControl w:val="0"/>
        <w:numPr>
          <w:ilvl w:val="0"/>
          <w:numId w:val="1"/>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ascii="宋体" w:hAnsi="宋体"/>
          <w:sz w:val="24"/>
          <w:szCs w:val="24"/>
          <w:highlight w:val="none"/>
        </w:rPr>
      </w:pPr>
      <w:r>
        <w:rPr>
          <w:rFonts w:hint="eastAsia" w:ascii="宋体" w:hAnsi="宋体"/>
          <w:sz w:val="24"/>
          <w:szCs w:val="24"/>
          <w:highlight w:val="none"/>
        </w:rPr>
        <w:t>未提交报价一览表；</w:t>
      </w:r>
    </w:p>
    <w:p>
      <w:pPr>
        <w:keepNext w:val="0"/>
        <w:keepLines w:val="0"/>
        <w:pageBreakBefore w:val="0"/>
        <w:widowControl w:val="0"/>
        <w:numPr>
          <w:ilvl w:val="0"/>
          <w:numId w:val="1"/>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未按照磋商文件要求提交磋商保证金；</w:t>
      </w:r>
    </w:p>
    <w:p>
      <w:pPr>
        <w:keepNext w:val="0"/>
        <w:keepLines w:val="0"/>
        <w:pageBreakBefore w:val="0"/>
        <w:widowControl w:val="0"/>
        <w:numPr>
          <w:ilvl w:val="0"/>
          <w:numId w:val="1"/>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ascii="宋体" w:hAnsi="宋体"/>
          <w:sz w:val="24"/>
          <w:szCs w:val="24"/>
          <w:highlight w:val="none"/>
        </w:rPr>
      </w:pPr>
      <w:r>
        <w:rPr>
          <w:rFonts w:hint="eastAsia" w:ascii="宋体" w:hAnsi="宋体"/>
          <w:sz w:val="24"/>
          <w:szCs w:val="24"/>
          <w:highlight w:val="none"/>
        </w:rPr>
        <w:t>未在响应文件中提供提交磋商保证金的证明材料；</w:t>
      </w:r>
    </w:p>
    <w:p>
      <w:pPr>
        <w:keepNext w:val="0"/>
        <w:keepLines w:val="0"/>
        <w:pageBreakBefore w:val="0"/>
        <w:widowControl w:val="0"/>
        <w:numPr>
          <w:ilvl w:val="0"/>
          <w:numId w:val="1"/>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未按磋商文件要求提供资格证明文件；</w:t>
      </w:r>
    </w:p>
    <w:p>
      <w:pPr>
        <w:keepNext w:val="0"/>
        <w:keepLines w:val="0"/>
        <w:pageBreakBefore w:val="0"/>
        <w:widowControl w:val="0"/>
        <w:numPr>
          <w:ilvl w:val="0"/>
          <w:numId w:val="1"/>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非法定代表人本人参与磋商，未提交有效的法定代表人授权书；</w:t>
      </w:r>
    </w:p>
    <w:p>
      <w:pPr>
        <w:keepNext w:val="0"/>
        <w:keepLines w:val="0"/>
        <w:pageBreakBefore w:val="0"/>
        <w:widowControl w:val="0"/>
        <w:numPr>
          <w:ilvl w:val="0"/>
          <w:numId w:val="1"/>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磋商有效期响应不足；</w:t>
      </w:r>
    </w:p>
    <w:p>
      <w:pPr>
        <w:keepNext w:val="0"/>
        <w:keepLines w:val="0"/>
        <w:pageBreakBefore w:val="0"/>
        <w:widowControl w:val="0"/>
        <w:numPr>
          <w:ilvl w:val="0"/>
          <w:numId w:val="1"/>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有磋商文件当中已列明的其他导致无效响应的因素；</w:t>
      </w:r>
    </w:p>
    <w:p>
      <w:pPr>
        <w:keepNext w:val="0"/>
        <w:keepLines w:val="0"/>
        <w:pageBreakBefore w:val="0"/>
        <w:widowControl w:val="0"/>
        <w:numPr>
          <w:ilvl w:val="0"/>
          <w:numId w:val="1"/>
        </w:numPr>
        <w:tabs>
          <w:tab w:val="left" w:pos="284"/>
          <w:tab w:val="left" w:pos="993"/>
        </w:tabs>
        <w:kinsoku/>
        <w:wordWrap/>
        <w:overflowPunct/>
        <w:topLinePunct w:val="0"/>
        <w:autoSpaceDE/>
        <w:autoSpaceDN/>
        <w:bidi w:val="0"/>
        <w:adjustRightInd/>
        <w:snapToGrid/>
        <w:spacing w:line="460" w:lineRule="exact"/>
        <w:ind w:left="360" w:leftChars="0" w:firstLine="476" w:firstLineChars="200"/>
        <w:jc w:val="left"/>
        <w:textAlignment w:val="auto"/>
        <w:rPr>
          <w:rFonts w:hint="eastAsia" w:ascii="宋体" w:hAnsi="宋体"/>
          <w:sz w:val="24"/>
          <w:szCs w:val="24"/>
          <w:highlight w:val="none"/>
        </w:rPr>
      </w:pPr>
      <w:r>
        <w:rPr>
          <w:rFonts w:hint="eastAsia" w:ascii="宋体" w:hAnsi="宋体"/>
          <w:sz w:val="24"/>
          <w:szCs w:val="24"/>
          <w:highlight w:val="none"/>
        </w:rPr>
        <w:t>发现供应商以他人名义参加磋商或相互之间串通，或者以其他弄虚作假方式参加磋商的。</w:t>
      </w:r>
    </w:p>
    <w:p>
      <w:pPr>
        <w:keepNext w:val="0"/>
        <w:keepLines w:val="0"/>
        <w:pageBreakBefore w:val="0"/>
        <w:tabs>
          <w:tab w:val="left" w:pos="284"/>
          <w:tab w:val="left" w:pos="993"/>
        </w:tabs>
        <w:wordWrap/>
        <w:overflowPunct/>
        <w:topLinePunct w:val="0"/>
        <w:bidi w:val="0"/>
        <w:spacing w:line="460" w:lineRule="exact"/>
        <w:ind w:firstLine="478" w:firstLineChars="200"/>
        <w:rPr>
          <w:rFonts w:ascii="宋体" w:hAnsi="宋体" w:cs="宋体"/>
          <w:b/>
          <w:bCs/>
          <w:sz w:val="24"/>
          <w:szCs w:val="24"/>
          <w:highlight w:val="none"/>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rPr>
        <w:t>二</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资格性、符合性审查</w:t>
      </w:r>
    </w:p>
    <w:tbl>
      <w:tblPr>
        <w:tblStyle w:val="25"/>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5"/>
        <w:gridCol w:w="8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color w:val="000000"/>
                <w:sz w:val="24"/>
                <w:szCs w:val="24"/>
              </w:rPr>
            </w:pPr>
            <w:bookmarkStart w:id="15" w:name="_Hlk99384377"/>
            <w:r>
              <w:rPr>
                <w:rFonts w:hint="eastAsia" w:ascii="宋体" w:hAnsi="宋体" w:eastAsia="宋体" w:cs="宋体"/>
                <w:b/>
                <w:bCs/>
                <w:color w:val="000000"/>
                <w:sz w:val="24"/>
                <w:szCs w:val="24"/>
              </w:rPr>
              <w:t>序号</w:t>
            </w:r>
          </w:p>
        </w:tc>
        <w:tc>
          <w:tcPr>
            <w:tcW w:w="818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审查内容及依据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960" w:type="dxa"/>
            <w:gridSpan w:val="2"/>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b/>
                <w:bCs/>
                <w:sz w:val="24"/>
                <w:szCs w:val="24"/>
              </w:rPr>
            </w:pPr>
            <w:r>
              <w:rPr>
                <w:rFonts w:hint="eastAsia" w:ascii="宋体" w:hAnsi="宋体" w:eastAsia="宋体" w:cs="宋体"/>
                <w:b/>
                <w:bCs/>
                <w:color w:val="000000"/>
                <w:kern w:val="0"/>
                <w:sz w:val="24"/>
                <w:szCs w:val="24"/>
                <w:lang w:bidi="ar"/>
              </w:rPr>
              <w:t>（一）资格性审查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818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333333"/>
                <w:kern w:val="0"/>
                <w:sz w:val="24"/>
                <w:szCs w:val="24"/>
                <w:highlight w:val="none"/>
                <w:shd w:val="clear" w:color="auto" w:fill="FFFFFF"/>
              </w:rPr>
            </w:pPr>
            <w:r>
              <w:rPr>
                <w:rFonts w:hint="eastAsia" w:ascii="宋体" w:hAnsi="宋体" w:eastAsia="宋体" w:cs="宋体"/>
                <w:color w:val="333333"/>
                <w:kern w:val="0"/>
                <w:sz w:val="24"/>
                <w:szCs w:val="24"/>
                <w:highlight w:val="none"/>
                <w:shd w:val="clear" w:color="auto" w:fill="FFFFFF"/>
              </w:rPr>
              <w:t>1.满足</w:t>
            </w:r>
            <w:r>
              <w:rPr>
                <w:rFonts w:hint="eastAsia" w:ascii="宋体" w:hAnsi="宋体" w:eastAsia="宋体" w:cs="宋体"/>
                <w:color w:val="333333"/>
                <w:kern w:val="0"/>
                <w:sz w:val="24"/>
                <w:szCs w:val="24"/>
                <w:highlight w:val="none"/>
                <w:shd w:val="clear" w:color="auto" w:fill="FFFFFF"/>
                <w:lang w:eastAsia="zh-CN"/>
              </w:rPr>
              <w:t>以下</w:t>
            </w:r>
            <w:r>
              <w:rPr>
                <w:rFonts w:hint="eastAsia" w:ascii="宋体" w:hAnsi="宋体" w:eastAsia="宋体" w:cs="宋体"/>
                <w:color w:val="333333"/>
                <w:kern w:val="0"/>
                <w:sz w:val="24"/>
                <w:szCs w:val="24"/>
                <w:highlight w:val="none"/>
                <w:shd w:val="clear" w:color="auto" w:fill="FFFFFF"/>
              </w:rPr>
              <w:t>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（1）具有独立承担民事责任的能力；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（3）具有履行合同所必需的设备和专业技术能力；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（4）有依法缴纳税收和社会保障资金的良好记录；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（5）</w:t>
            </w:r>
            <w:r>
              <w:rPr>
                <w:rFonts w:hint="eastAsia" w:ascii="宋体" w:hAnsi="宋体" w:eastAsia="宋体" w:cs="宋体"/>
                <w:color w:val="000000"/>
                <w:kern w:val="0"/>
                <w:sz w:val="24"/>
                <w:szCs w:val="24"/>
                <w:highlight w:val="none"/>
                <w:shd w:val="clear" w:color="auto" w:fill="FFFFFF"/>
                <w:lang w:eastAsia="zh-CN"/>
              </w:rPr>
              <w:t>参加本次采购活动</w:t>
            </w:r>
            <w:r>
              <w:rPr>
                <w:rFonts w:hint="eastAsia" w:ascii="宋体" w:hAnsi="宋体" w:eastAsia="宋体" w:cs="宋体"/>
                <w:color w:val="auto"/>
                <w:kern w:val="0"/>
                <w:sz w:val="24"/>
                <w:szCs w:val="24"/>
                <w:highlight w:val="none"/>
                <w:shd w:val="clear" w:color="auto" w:fill="FFFFFF"/>
                <w:lang w:eastAsia="zh-CN"/>
              </w:rPr>
              <w:t>前三年内,</w:t>
            </w:r>
            <w:r>
              <w:rPr>
                <w:rFonts w:hint="eastAsia" w:ascii="宋体" w:hAnsi="宋体" w:eastAsia="宋体" w:cs="宋体"/>
                <w:color w:val="auto"/>
                <w:kern w:val="0"/>
                <w:sz w:val="24"/>
                <w:szCs w:val="24"/>
                <w:highlight w:val="none"/>
                <w:shd w:val="clear" w:color="auto" w:fill="FFFFFF"/>
              </w:rPr>
              <w:t>在经营活动中没有重大违法记录；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（6）法律、行政法规规定的其他条件。</w:t>
            </w:r>
          </w:p>
          <w:p>
            <w:pPr>
              <w:keepNext w:val="0"/>
              <w:keepLines w:val="0"/>
              <w:pageBreakBefore w:val="0"/>
              <w:widowControl/>
              <w:suppressLineNumbers w:val="0"/>
              <w:tabs>
                <w:tab w:val="left" w:pos="5329"/>
              </w:tabs>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2.单位负责人为同一人或者存在直接控股、管理关系的不同</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，不得参加同一合同项下的</w:t>
            </w:r>
            <w:r>
              <w:rPr>
                <w:rFonts w:hint="eastAsia" w:ascii="宋体" w:hAnsi="宋体" w:eastAsia="宋体" w:cs="宋体"/>
                <w:color w:val="auto"/>
                <w:kern w:val="0"/>
                <w:sz w:val="24"/>
                <w:szCs w:val="24"/>
                <w:highlight w:val="none"/>
                <w:shd w:val="clear" w:color="auto" w:fill="FFFFFF"/>
                <w:lang w:val="en-US" w:eastAsia="zh-CN"/>
              </w:rPr>
              <w:t>采购</w:t>
            </w:r>
            <w:r>
              <w:rPr>
                <w:rFonts w:hint="eastAsia" w:ascii="宋体" w:hAnsi="宋体" w:eastAsia="宋体" w:cs="宋体"/>
                <w:color w:val="auto"/>
                <w:kern w:val="0"/>
                <w:sz w:val="24"/>
                <w:szCs w:val="24"/>
                <w:highlight w:val="none"/>
                <w:shd w:val="clear" w:color="auto" w:fill="FFFFFF"/>
                <w:lang w:eastAsia="zh-CN"/>
              </w:rPr>
              <w:t>活动</w:t>
            </w:r>
            <w:r>
              <w:rPr>
                <w:rFonts w:hint="eastAsia" w:ascii="宋体" w:hAnsi="宋体" w:eastAsia="宋体" w:cs="宋体"/>
                <w:color w:val="auto"/>
                <w:kern w:val="0"/>
                <w:sz w:val="24"/>
                <w:szCs w:val="24"/>
                <w:highlight w:val="none"/>
                <w:shd w:val="clear" w:color="auto" w:fill="FFFFFF"/>
              </w:rPr>
              <w:t>。为本项目提供整体设计、规范编制或者项目管理、监理、检测等服务的</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不得参加本项目的采购活动。</w:t>
            </w:r>
          </w:p>
          <w:p>
            <w:pPr>
              <w:keepNext w:val="0"/>
              <w:keepLines w:val="0"/>
              <w:pageBreakBefore w:val="0"/>
              <w:widowControl/>
              <w:suppressLineNumbers w:val="0"/>
              <w:tabs>
                <w:tab w:val="left" w:pos="5329"/>
              </w:tabs>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b/>
                <w:bCs/>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lang w:eastAsia="zh-CN"/>
              </w:rPr>
              <w:t>【</w:t>
            </w:r>
            <w:r>
              <w:rPr>
                <w:rFonts w:hint="eastAsia" w:ascii="宋体" w:hAnsi="宋体" w:eastAsia="宋体" w:cs="宋体"/>
                <w:b/>
                <w:bCs/>
                <w:color w:val="auto"/>
                <w:kern w:val="0"/>
                <w:sz w:val="24"/>
                <w:szCs w:val="24"/>
                <w:highlight w:val="none"/>
                <w:shd w:val="clear" w:color="auto" w:fill="FFFFFF"/>
                <w:lang w:val="en-US" w:eastAsia="zh-CN"/>
              </w:rPr>
              <w:t>以上1～2项</w:t>
            </w:r>
            <w:r>
              <w:rPr>
                <w:rFonts w:hint="eastAsia" w:ascii="宋体" w:hAnsi="宋体" w:eastAsia="宋体" w:cs="宋体"/>
                <w:b/>
                <w:bCs/>
                <w:color w:val="auto"/>
                <w:kern w:val="0"/>
                <w:sz w:val="24"/>
                <w:szCs w:val="24"/>
                <w:highlight w:val="none"/>
                <w:shd w:val="clear" w:color="auto" w:fill="FFFFFF"/>
              </w:rPr>
              <w:t>提供《资格信用承诺函》或提供</w:t>
            </w:r>
            <w:r>
              <w:rPr>
                <w:rFonts w:hint="eastAsia" w:ascii="宋体" w:hAnsi="宋体" w:eastAsia="宋体" w:cs="宋体"/>
                <w:b/>
                <w:bCs/>
                <w:color w:val="auto"/>
                <w:kern w:val="0"/>
                <w:sz w:val="24"/>
                <w:szCs w:val="24"/>
                <w:highlight w:val="none"/>
                <w:shd w:val="clear" w:color="auto" w:fill="FFFFFF"/>
                <w:lang w:val="en-US" w:eastAsia="zh-CN"/>
              </w:rPr>
              <w:t>磋商</w:t>
            </w:r>
            <w:r>
              <w:rPr>
                <w:rFonts w:hint="eastAsia" w:ascii="宋体" w:hAnsi="宋体" w:eastAsia="宋体" w:cs="宋体"/>
                <w:b/>
                <w:bCs/>
                <w:color w:val="auto"/>
                <w:kern w:val="0"/>
                <w:sz w:val="24"/>
                <w:szCs w:val="24"/>
                <w:highlight w:val="none"/>
                <w:shd w:val="clear" w:color="auto" w:fill="FFFFFF"/>
              </w:rPr>
              <w:t>文件要求提供对应事项证明材料（未提供承诺函又未按照</w:t>
            </w:r>
            <w:r>
              <w:rPr>
                <w:rFonts w:hint="eastAsia" w:ascii="宋体" w:hAnsi="宋体" w:eastAsia="宋体" w:cs="宋体"/>
                <w:b/>
                <w:bCs/>
                <w:color w:val="auto"/>
                <w:kern w:val="0"/>
                <w:sz w:val="24"/>
                <w:szCs w:val="24"/>
                <w:highlight w:val="none"/>
                <w:shd w:val="clear" w:color="auto" w:fill="FFFFFF"/>
                <w:lang w:val="en-US" w:eastAsia="zh-CN"/>
              </w:rPr>
              <w:t>磋商</w:t>
            </w:r>
            <w:r>
              <w:rPr>
                <w:rFonts w:hint="eastAsia" w:ascii="宋体" w:hAnsi="宋体" w:eastAsia="宋体" w:cs="宋体"/>
                <w:b/>
                <w:bCs/>
                <w:color w:val="auto"/>
                <w:kern w:val="0"/>
                <w:sz w:val="24"/>
                <w:szCs w:val="24"/>
                <w:highlight w:val="none"/>
                <w:shd w:val="clear" w:color="auto" w:fill="FFFFFF"/>
              </w:rPr>
              <w:t>文件要求提供对应事项证明材料的，按无效</w:t>
            </w:r>
            <w:r>
              <w:rPr>
                <w:rFonts w:hint="eastAsia" w:ascii="宋体" w:hAnsi="宋体" w:eastAsia="宋体" w:cs="宋体"/>
                <w:b/>
                <w:bCs/>
                <w:color w:val="auto"/>
                <w:kern w:val="0"/>
                <w:sz w:val="24"/>
                <w:szCs w:val="24"/>
                <w:highlight w:val="none"/>
                <w:shd w:val="clear" w:color="auto" w:fill="FFFFFF"/>
                <w:lang w:val="en-US" w:eastAsia="zh-CN"/>
              </w:rPr>
              <w:t>响应</w:t>
            </w:r>
            <w:r>
              <w:rPr>
                <w:rFonts w:hint="eastAsia" w:ascii="宋体" w:hAnsi="宋体" w:eastAsia="宋体" w:cs="宋体"/>
                <w:b/>
                <w:bCs/>
                <w:color w:val="auto"/>
                <w:kern w:val="0"/>
                <w:sz w:val="24"/>
                <w:szCs w:val="24"/>
                <w:highlight w:val="none"/>
                <w:shd w:val="clear" w:color="auto" w:fill="FFFFFF"/>
              </w:rPr>
              <w:t>处理）</w:t>
            </w:r>
            <w:r>
              <w:rPr>
                <w:rFonts w:hint="eastAsia" w:ascii="宋体" w:hAnsi="宋体" w:eastAsia="宋体" w:cs="宋体"/>
                <w:b/>
                <w:bCs/>
                <w:color w:val="auto"/>
                <w:kern w:val="0"/>
                <w:sz w:val="24"/>
                <w:szCs w:val="24"/>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rPr>
                <w:rFonts w:hint="eastAsia" w:ascii="宋体" w:hAnsi="宋体" w:eastAsia="宋体" w:cs="宋体"/>
                <w:sz w:val="24"/>
                <w:szCs w:val="24"/>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提供信用承诺函的，采购人有权在</w:t>
            </w:r>
            <w:r>
              <w:rPr>
                <w:rFonts w:hint="eastAsia" w:ascii="宋体" w:hAnsi="宋体" w:eastAsia="宋体" w:cs="宋体"/>
                <w:b/>
                <w:bCs/>
                <w:sz w:val="24"/>
                <w:szCs w:val="24"/>
              </w:rPr>
              <w:t>确定</w:t>
            </w:r>
            <w:r>
              <w:rPr>
                <w:rFonts w:hint="eastAsia" w:ascii="宋体" w:hAnsi="宋体" w:eastAsia="宋体" w:cs="宋体"/>
                <w:b/>
                <w:bCs/>
                <w:sz w:val="24"/>
                <w:szCs w:val="24"/>
                <w:lang w:val="en-US" w:eastAsia="zh-CN"/>
              </w:rPr>
              <w:t>成交</w:t>
            </w:r>
            <w:r>
              <w:rPr>
                <w:rFonts w:hint="eastAsia" w:ascii="宋体" w:hAnsi="宋体" w:eastAsia="宋体" w:cs="宋体"/>
                <w:b/>
                <w:bCs/>
                <w:sz w:val="24"/>
                <w:szCs w:val="24"/>
              </w:rPr>
              <w:t>结果后、签订采购合同前，核实</w:t>
            </w:r>
            <w:r>
              <w:rPr>
                <w:rFonts w:hint="eastAsia" w:ascii="宋体" w:hAnsi="宋体" w:eastAsia="宋体" w:cs="宋体"/>
                <w:b/>
                <w:bCs/>
                <w:sz w:val="24"/>
                <w:szCs w:val="24"/>
                <w:lang w:val="en-US" w:eastAsia="zh-CN"/>
              </w:rPr>
              <w:t>成交供应商</w:t>
            </w:r>
            <w:r>
              <w:rPr>
                <w:rFonts w:hint="eastAsia" w:ascii="宋体" w:hAnsi="宋体" w:eastAsia="宋体" w:cs="宋体"/>
                <w:b/>
                <w:bCs/>
                <w:sz w:val="24"/>
                <w:szCs w:val="24"/>
              </w:rPr>
              <w:t>所作信用承诺事项的真实性，</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应对提供虚假承诺行为承担相应的法律责任。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w:t>
            </w:r>
          </w:p>
        </w:tc>
        <w:tc>
          <w:tcPr>
            <w:tcW w:w="8184" w:type="dxa"/>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color w:val="auto"/>
                <w:kern w:val="0"/>
                <w:sz w:val="24"/>
                <w:szCs w:val="24"/>
                <w:highlight w:val="none"/>
                <w:shd w:val="clear" w:color="auto" w:fill="FFFFFF"/>
                <w:lang w:val="en-US" w:eastAsia="zh-CN" w:bidi="ar-SA"/>
              </w:rPr>
              <w:t>供应商被“信用中国”网站列入失信被执行人和重大税收违法案件当事人名单的、被“中国政府采购网”网站列入政府采购严重违法失信行为记录名单（处罚期限尚未届满的），不得参加本项目的采购活动</w:t>
            </w:r>
            <w:r>
              <w:rPr>
                <w:rFonts w:hint="eastAsia" w:ascii="宋体" w:hAnsi="宋体" w:eastAsia="宋体" w:cs="宋体"/>
                <w:color w:val="auto"/>
                <w:kern w:val="0"/>
                <w:sz w:val="24"/>
                <w:szCs w:val="24"/>
                <w:lang w:val="en-US" w:eastAsia="zh-CN" w:bidi="ar-SA"/>
              </w:rPr>
              <w:t>；</w:t>
            </w:r>
            <w:r>
              <w:rPr>
                <w:rFonts w:hint="eastAsia" w:ascii="宋体" w:hAnsi="宋体" w:eastAsia="宋体" w:cs="宋体"/>
                <w:b/>
                <w:bCs/>
                <w:color w:val="auto"/>
                <w:kern w:val="0"/>
                <w:sz w:val="24"/>
                <w:szCs w:val="24"/>
                <w:lang w:val="en-US" w:eastAsia="zh-CN" w:bidi="ar"/>
              </w:rPr>
              <w:t>【采购人或者采购代理机构在资格审查结束前，对供应商进行信用查询。供应商无需提供信用查询截图，以采购人或采购代理机构查询结果为准，具体详见《供应商须知前附表》】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960" w:type="dxa"/>
            <w:gridSpan w:val="2"/>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b/>
                <w:bCs/>
                <w:i w:val="0"/>
                <w:iCs w:val="0"/>
                <w:color w:val="auto"/>
                <w:kern w:val="0"/>
                <w:sz w:val="24"/>
                <w:szCs w:val="24"/>
                <w:lang w:bidi="ar"/>
              </w:rPr>
            </w:pPr>
            <w:r>
              <w:rPr>
                <w:rFonts w:hint="eastAsia" w:ascii="宋体" w:hAnsi="宋体" w:eastAsia="宋体" w:cs="宋体"/>
                <w:b/>
                <w:bCs/>
                <w:color w:val="000000"/>
                <w:kern w:val="0"/>
                <w:sz w:val="24"/>
                <w:szCs w:val="24"/>
                <w:lang w:bidi="ar"/>
              </w:rPr>
              <w:t>（二）符合性审查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bCs/>
                <w:i w:val="0"/>
                <w:iCs w:val="0"/>
                <w:color w:val="auto"/>
                <w:sz w:val="24"/>
                <w:szCs w:val="24"/>
                <w:lang w:eastAsia="zh-CN"/>
              </w:rPr>
            </w:pPr>
            <w:r>
              <w:rPr>
                <w:rFonts w:hint="eastAsia" w:ascii="宋体" w:hAnsi="宋体" w:eastAsia="宋体" w:cs="宋体"/>
                <w:bCs/>
                <w:i w:val="0"/>
                <w:iCs w:val="0"/>
                <w:color w:val="auto"/>
                <w:sz w:val="24"/>
                <w:szCs w:val="24"/>
                <w:lang w:val="en-US" w:eastAsia="zh-CN"/>
              </w:rPr>
              <w:t>1</w:t>
            </w:r>
          </w:p>
        </w:tc>
        <w:tc>
          <w:tcPr>
            <w:tcW w:w="818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供应商必须按照磋商文件要求提交磋商保证金，并在响应文件中提供提交磋商保证金的证明材料；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bCs/>
                <w:i/>
                <w:iCs/>
                <w:color w:val="FF0000"/>
                <w:sz w:val="24"/>
                <w:szCs w:val="24"/>
                <w:lang w:val="en-US" w:eastAsia="zh-CN"/>
              </w:rPr>
            </w:pPr>
            <w:r>
              <w:rPr>
                <w:rFonts w:hint="eastAsia" w:ascii="宋体" w:hAnsi="宋体" w:eastAsia="宋体" w:cs="宋体"/>
                <w:bCs/>
                <w:color w:val="000000"/>
                <w:sz w:val="24"/>
                <w:szCs w:val="24"/>
                <w:lang w:val="en-US" w:eastAsia="zh-CN"/>
              </w:rPr>
              <w:t>2</w:t>
            </w:r>
          </w:p>
        </w:tc>
        <w:tc>
          <w:tcPr>
            <w:tcW w:w="818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非法定代表人本人参与磋商，须提供有效的法定代表人授权书；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bCs/>
                <w:i/>
                <w:iCs/>
                <w:color w:val="FF0000"/>
                <w:sz w:val="24"/>
                <w:szCs w:val="24"/>
                <w:lang w:val="en-US" w:eastAsia="zh-CN"/>
              </w:rPr>
            </w:pPr>
            <w:r>
              <w:rPr>
                <w:rFonts w:hint="eastAsia" w:ascii="宋体" w:hAnsi="宋体" w:eastAsia="宋体" w:cs="宋体"/>
                <w:bCs/>
                <w:color w:val="000000"/>
                <w:sz w:val="24"/>
                <w:szCs w:val="24"/>
                <w:lang w:val="en-US" w:eastAsia="zh-CN"/>
              </w:rPr>
              <w:t>3</w:t>
            </w:r>
          </w:p>
        </w:tc>
        <w:tc>
          <w:tcPr>
            <w:tcW w:w="8184" w:type="dxa"/>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供应商必须按照</w:t>
            </w:r>
            <w:r>
              <w:rPr>
                <w:rFonts w:hint="eastAsia" w:ascii="宋体" w:hAnsi="宋体" w:eastAsia="宋体" w:cs="宋体"/>
                <w:sz w:val="24"/>
                <w:szCs w:val="24"/>
                <w:lang w:val="en-US" w:eastAsia="zh-CN"/>
              </w:rPr>
              <w:t>磋商</w:t>
            </w:r>
            <w:r>
              <w:rPr>
                <w:rFonts w:hint="eastAsia" w:ascii="宋体" w:hAnsi="宋体" w:eastAsia="宋体" w:cs="宋体"/>
                <w:kern w:val="2"/>
                <w:sz w:val="24"/>
                <w:szCs w:val="24"/>
                <w:lang w:val="en-US" w:eastAsia="zh-CN" w:bidi="ar-SA"/>
              </w:rPr>
              <w:t>文件要求提供报价一览表；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6"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bCs/>
                <w:i/>
                <w:iCs/>
                <w:color w:val="FF0000"/>
                <w:sz w:val="24"/>
                <w:szCs w:val="24"/>
                <w:lang w:val="en-US" w:eastAsia="zh-CN"/>
              </w:rPr>
            </w:pPr>
            <w:r>
              <w:rPr>
                <w:rFonts w:hint="eastAsia" w:ascii="宋体" w:hAnsi="宋体" w:eastAsia="宋体" w:cs="宋体"/>
                <w:bCs/>
                <w:color w:val="000000"/>
                <w:sz w:val="24"/>
                <w:szCs w:val="24"/>
                <w:lang w:val="en-US" w:eastAsia="zh-CN"/>
              </w:rPr>
              <w:t>4</w:t>
            </w:r>
          </w:p>
        </w:tc>
        <w:tc>
          <w:tcPr>
            <w:tcW w:w="8184"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rPr>
                <w:rFonts w:hint="eastAsia" w:ascii="宋体" w:hAnsi="宋体" w:eastAsia="宋体" w:cs="宋体"/>
                <w:sz w:val="24"/>
                <w:szCs w:val="24"/>
              </w:rPr>
            </w:pPr>
            <w:r>
              <w:rPr>
                <w:rFonts w:hint="eastAsia" w:ascii="宋体" w:hAnsi="宋体" w:eastAsia="宋体" w:cs="宋体"/>
                <w:sz w:val="24"/>
                <w:szCs w:val="24"/>
              </w:rPr>
              <w:t>无法律、法规和</w:t>
            </w:r>
            <w:r>
              <w:rPr>
                <w:rFonts w:hint="eastAsia" w:ascii="宋体" w:hAnsi="宋体" w:eastAsia="宋体" w:cs="宋体"/>
                <w:sz w:val="24"/>
                <w:szCs w:val="24"/>
                <w:lang w:val="en-US" w:eastAsia="zh-CN"/>
              </w:rPr>
              <w:t>磋商</w:t>
            </w:r>
            <w:r>
              <w:rPr>
                <w:rFonts w:hint="eastAsia" w:ascii="宋体" w:hAnsi="宋体" w:eastAsia="宋体" w:cs="宋体"/>
                <w:sz w:val="24"/>
                <w:szCs w:val="24"/>
              </w:rPr>
              <w:t>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960" w:type="dxa"/>
            <w:gridSpan w:val="2"/>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rPr>
                <w:rFonts w:hint="eastAsia" w:ascii="宋体" w:hAnsi="宋体" w:eastAsia="宋体" w:cs="宋体"/>
                <w:b/>
                <w:bCs/>
                <w:kern w:val="0"/>
                <w:sz w:val="24"/>
                <w:szCs w:val="24"/>
                <w:highlight w:val="yellow"/>
                <w:lang w:bidi="ar"/>
              </w:rPr>
            </w:pPr>
            <w:r>
              <w:rPr>
                <w:rFonts w:hint="eastAsia" w:ascii="宋体" w:hAnsi="宋体" w:eastAsia="宋体" w:cs="宋体"/>
                <w:b/>
                <w:color w:val="000000"/>
                <w:kern w:val="0"/>
                <w:sz w:val="24"/>
                <w:szCs w:val="24"/>
                <w:lang w:bidi="ar"/>
              </w:rPr>
              <w:t>说明：以上任何一项不符合视为审查不合格，作无效</w:t>
            </w:r>
            <w:r>
              <w:rPr>
                <w:rFonts w:hint="eastAsia" w:ascii="宋体" w:hAnsi="宋体" w:eastAsia="宋体" w:cs="宋体"/>
                <w:b/>
                <w:color w:val="000000"/>
                <w:kern w:val="0"/>
                <w:sz w:val="24"/>
                <w:szCs w:val="24"/>
                <w:lang w:val="en-US" w:eastAsia="zh-CN" w:bidi="ar"/>
              </w:rPr>
              <w:t>响应</w:t>
            </w:r>
            <w:r>
              <w:rPr>
                <w:rFonts w:hint="eastAsia" w:ascii="宋体" w:hAnsi="宋体" w:eastAsia="宋体" w:cs="宋体"/>
                <w:b/>
                <w:color w:val="000000"/>
                <w:kern w:val="0"/>
                <w:sz w:val="24"/>
                <w:szCs w:val="24"/>
                <w:lang w:bidi="ar"/>
              </w:rPr>
              <w:t>处理</w:t>
            </w:r>
            <w:r>
              <w:rPr>
                <w:rFonts w:hint="eastAsia" w:ascii="宋体" w:hAnsi="宋体" w:eastAsia="宋体" w:cs="宋体"/>
                <w:color w:val="000000"/>
                <w:sz w:val="24"/>
                <w:szCs w:val="24"/>
                <w:lang w:bidi="ar"/>
              </w:rPr>
              <w:t>。</w:t>
            </w:r>
          </w:p>
        </w:tc>
      </w:tr>
      <w:bookmarkEnd w:id="15"/>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78" w:firstLineChars="200"/>
        <w:jc w:val="left"/>
        <w:textAlignment w:val="center"/>
        <w:rPr>
          <w:rFonts w:hint="eastAsia" w:ascii="宋体" w:hAnsi="宋体" w:cs="宋体"/>
          <w:b/>
          <w:bCs/>
          <w:sz w:val="24"/>
          <w:szCs w:val="24"/>
          <w:highlight w:val="none"/>
        </w:rPr>
      </w:pPr>
      <w:r>
        <w:rPr>
          <w:rFonts w:hint="eastAsia" w:ascii="宋体" w:hAnsi="宋体" w:cs="宋体"/>
          <w:b/>
          <w:bCs/>
          <w:kern w:val="2"/>
          <w:sz w:val="24"/>
          <w:szCs w:val="24"/>
          <w:lang w:val="en-US" w:eastAsia="zh-CN" w:bidi="ar-SA"/>
        </w:rPr>
        <w:t>（三）拟定</w:t>
      </w:r>
      <w:r>
        <w:rPr>
          <w:rFonts w:hint="eastAsia" w:ascii="宋体" w:hAnsi="宋体" w:cs="宋体"/>
          <w:b/>
          <w:bCs/>
          <w:sz w:val="24"/>
          <w:szCs w:val="24"/>
          <w:highlight w:val="none"/>
        </w:rPr>
        <w:t>评审标准</w:t>
      </w:r>
    </w:p>
    <w:p>
      <w:pPr>
        <w:widowControl/>
        <w:numPr>
          <w:ilvl w:val="0"/>
          <w:numId w:val="0"/>
        </w:numPr>
        <w:spacing w:line="560" w:lineRule="exact"/>
        <w:ind w:firstLine="476" w:firstLineChars="200"/>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highlight w:val="none"/>
        </w:rPr>
        <w:t>本项目</w:t>
      </w:r>
      <w:r>
        <w:rPr>
          <w:rFonts w:hint="eastAsia" w:ascii="宋体" w:hAnsi="宋体"/>
          <w:bCs/>
          <w:color w:val="000000"/>
          <w:sz w:val="24"/>
          <w:szCs w:val="24"/>
          <w:highlight w:val="none"/>
        </w:rPr>
        <w:t>经磋商确定最终采购需求和提交最后报价的供应商后，由磋商小组采用综合评分法对提交最后报价的供应商的响应文件和最后报价进行综合评分。总</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40</w:t>
      </w:r>
      <w:r>
        <w:rPr>
          <w:rFonts w:hint="eastAsia" w:ascii="宋体" w:hAnsi="宋体"/>
          <w:bCs/>
          <w:color w:val="auto"/>
          <w:sz w:val="24"/>
          <w:szCs w:val="24"/>
          <w:highlight w:val="none"/>
        </w:rPr>
        <w:t>分</w:t>
      </w:r>
      <w:r>
        <w:rPr>
          <w:rFonts w:hint="eastAsia" w:ascii="宋体" w:hAnsi="宋体"/>
          <w:bCs/>
          <w:color w:val="000000"/>
          <w:sz w:val="24"/>
          <w:szCs w:val="24"/>
          <w:highlight w:val="none"/>
        </w:rPr>
        <w:t>。</w:t>
      </w:r>
    </w:p>
    <w:tbl>
      <w:tblPr>
        <w:tblStyle w:val="25"/>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735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i w:val="0"/>
                <w:iCs w:val="0"/>
                <w:snapToGrid/>
                <w:color w:val="auto"/>
                <w:kern w:val="0"/>
                <w:sz w:val="24"/>
                <w:szCs w:val="24"/>
                <w:highlight w:val="none"/>
                <w:lang w:eastAsia="zh-CN"/>
              </w:rPr>
            </w:pPr>
            <w:r>
              <w:rPr>
                <w:rFonts w:hint="eastAsia" w:ascii="宋体" w:hAnsi="宋体" w:eastAsia="宋体" w:cs="宋体"/>
                <w:b/>
                <w:i w:val="0"/>
                <w:iCs w:val="0"/>
                <w:snapToGrid/>
                <w:color w:val="auto"/>
                <w:kern w:val="0"/>
                <w:sz w:val="24"/>
                <w:szCs w:val="24"/>
                <w:highlight w:val="none"/>
                <w:lang w:eastAsia="zh-CN"/>
              </w:rPr>
              <w:t>（一）价格部分（</w:t>
            </w:r>
            <w:r>
              <w:rPr>
                <w:rFonts w:hint="eastAsia" w:ascii="宋体" w:hAnsi="宋体" w:eastAsia="宋体" w:cs="宋体"/>
                <w:b/>
                <w:i w:val="0"/>
                <w:iCs w:val="0"/>
                <w:snapToGrid/>
                <w:color w:val="auto"/>
                <w:kern w:val="2"/>
                <w:sz w:val="24"/>
                <w:szCs w:val="24"/>
                <w:highlight w:val="none"/>
                <w:lang w:eastAsia="zh-CN"/>
              </w:rPr>
              <w:t>10分</w:t>
            </w:r>
            <w:r>
              <w:rPr>
                <w:rFonts w:hint="eastAsia" w:ascii="宋体" w:hAnsi="宋体" w:eastAsia="宋体" w:cs="宋体"/>
                <w:b/>
                <w:i w:val="0"/>
                <w:iCs w:val="0"/>
                <w:snapToGrid/>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i w:val="0"/>
                <w:iCs w:val="0"/>
                <w:snapToGrid/>
                <w:color w:val="auto"/>
                <w:kern w:val="0"/>
                <w:sz w:val="24"/>
                <w:szCs w:val="24"/>
                <w:lang w:eastAsia="zh-CN"/>
              </w:rPr>
            </w:pPr>
            <w:r>
              <w:rPr>
                <w:rFonts w:hint="eastAsia" w:ascii="宋体" w:hAnsi="宋体" w:eastAsia="宋体" w:cs="宋体"/>
                <w:b/>
                <w:i w:val="0"/>
                <w:iCs w:val="0"/>
                <w:snapToGrid/>
                <w:color w:val="auto"/>
                <w:kern w:val="0"/>
                <w:sz w:val="24"/>
                <w:szCs w:val="24"/>
                <w:lang w:eastAsia="zh-CN"/>
              </w:rPr>
              <w:t>评分点</w:t>
            </w:r>
          </w:p>
        </w:tc>
        <w:tc>
          <w:tcPr>
            <w:tcW w:w="7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358" w:firstLineChars="150"/>
              <w:jc w:val="center"/>
              <w:textAlignment w:val="auto"/>
              <w:rPr>
                <w:rFonts w:hint="eastAsia" w:ascii="宋体" w:hAnsi="宋体" w:eastAsia="宋体" w:cs="宋体"/>
                <w:b/>
                <w:bCs/>
                <w:i w:val="0"/>
                <w:iCs w:val="0"/>
                <w:snapToGrid/>
                <w:color w:val="auto"/>
                <w:kern w:val="2"/>
                <w:sz w:val="24"/>
                <w:szCs w:val="24"/>
                <w:lang w:eastAsia="zh-CN"/>
              </w:rPr>
            </w:pPr>
            <w:r>
              <w:rPr>
                <w:rFonts w:hint="eastAsia" w:ascii="宋体" w:hAnsi="宋体" w:eastAsia="宋体" w:cs="宋体"/>
                <w:b/>
                <w:i w:val="0"/>
                <w:iCs w:val="0"/>
                <w:snapToGrid/>
                <w:color w:val="auto"/>
                <w:kern w:val="0"/>
                <w:sz w:val="24"/>
                <w:szCs w:val="24"/>
                <w:lang w:eastAsia="zh-CN"/>
              </w:rPr>
              <w:t>评审内容</w:t>
            </w:r>
          </w:p>
        </w:tc>
        <w:tc>
          <w:tcPr>
            <w:tcW w:w="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i w:val="0"/>
                <w:iCs w:val="0"/>
                <w:snapToGrid/>
                <w:color w:val="auto"/>
                <w:kern w:val="0"/>
                <w:sz w:val="24"/>
                <w:szCs w:val="24"/>
                <w:lang w:eastAsia="zh-CN"/>
              </w:rPr>
            </w:pPr>
            <w:r>
              <w:rPr>
                <w:rFonts w:hint="eastAsia" w:ascii="宋体" w:hAnsi="宋体" w:eastAsia="宋体" w:cs="宋体"/>
                <w:b/>
                <w:i w:val="0"/>
                <w:iCs w:val="0"/>
                <w:snapToGrid/>
                <w:color w:val="auto"/>
                <w:kern w:val="0"/>
                <w:sz w:val="24"/>
                <w:szCs w:val="24"/>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报价</w:t>
            </w:r>
          </w:p>
        </w:tc>
        <w:tc>
          <w:tcPr>
            <w:tcW w:w="7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价格分采用低价优先法计算，即满足磋商文件要求且最后磋商报价最低的磋商报价为磋商基准价，其价格分为满分。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其他供应商的价格分统一按下列公式计算：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报价得分=（磋商基准价/最后磋商报价）×</w:t>
            </w:r>
            <w:r>
              <w:rPr>
                <w:rFonts w:hint="eastAsia" w:ascii="宋体" w:hAnsi="宋体" w:eastAsia="宋体" w:cs="宋体"/>
                <w:bCs/>
                <w:i w:val="0"/>
                <w:iCs w:val="0"/>
                <w:snapToGrid/>
                <w:color w:val="auto"/>
                <w:kern w:val="0"/>
                <w:sz w:val="24"/>
                <w:szCs w:val="24"/>
                <w:highlight w:val="none"/>
                <w:lang w:val="en-US" w:eastAsia="zh-CN"/>
              </w:rPr>
              <w:t>10</w:t>
            </w:r>
            <w:r>
              <w:rPr>
                <w:rFonts w:hint="eastAsia" w:ascii="宋体" w:hAnsi="宋体" w:eastAsia="宋体" w:cs="宋体"/>
                <w:bCs/>
                <w:i w:val="0"/>
                <w:iCs w:val="0"/>
                <w:snapToGrid/>
                <w:color w:val="auto"/>
                <w:kern w:val="0"/>
                <w:sz w:val="24"/>
                <w:szCs w:val="24"/>
                <w:highlight w:val="none"/>
                <w:lang w:eastAsia="zh-CN"/>
              </w:rPr>
              <w:t>；计算结果保留至小数点后两位。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
                <w:i w:val="0"/>
                <w:iCs w:val="0"/>
                <w:snapToGrid/>
                <w:color w:val="auto"/>
                <w:kern w:val="0"/>
                <w:sz w:val="24"/>
                <w:szCs w:val="24"/>
                <w:highlight w:val="none"/>
                <w:lang w:eastAsia="zh-CN" w:bidi="ar"/>
              </w:rPr>
              <w:t>评审依据：最后报价。</w:t>
            </w:r>
          </w:p>
        </w:tc>
        <w:tc>
          <w:tcPr>
            <w:tcW w:w="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i w:val="0"/>
                <w:iCs w:val="0"/>
                <w:snapToGrid/>
                <w:color w:val="auto"/>
                <w:kern w:val="0"/>
                <w:sz w:val="24"/>
                <w:szCs w:val="24"/>
                <w:highlight w:val="none"/>
                <w:lang w:eastAsia="zh-CN"/>
              </w:rPr>
            </w:pPr>
            <w:r>
              <w:rPr>
                <w:rFonts w:hint="eastAsia" w:ascii="宋体" w:hAnsi="宋体" w:eastAsia="宋体" w:cs="宋体"/>
                <w:bCs/>
                <w:i w:val="0"/>
                <w:iCs w:val="0"/>
                <w:snapToGrid/>
                <w:color w:val="auto"/>
                <w:kern w:val="0"/>
                <w:sz w:val="24"/>
                <w:szCs w:val="24"/>
                <w:highlight w:val="none"/>
                <w:lang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（二）技术</w:t>
            </w:r>
            <w:r>
              <w:rPr>
                <w:rFonts w:hint="eastAsia" w:ascii="宋体" w:hAnsi="宋体" w:eastAsia="宋体" w:cs="宋体"/>
                <w:b/>
                <w:i w:val="0"/>
                <w:iCs w:val="0"/>
                <w:snapToGrid/>
                <w:color w:val="auto"/>
                <w:kern w:val="0"/>
                <w:sz w:val="24"/>
                <w:szCs w:val="24"/>
                <w:lang w:eastAsia="zh-CN"/>
              </w:rPr>
              <w:t>部分（</w:t>
            </w:r>
            <w:r>
              <w:rPr>
                <w:rFonts w:hint="eastAsia" w:ascii="宋体" w:hAnsi="宋体" w:eastAsia="宋体" w:cs="宋体"/>
                <w:b/>
                <w:i w:val="0"/>
                <w:iCs w:val="0"/>
                <w:snapToGrid/>
                <w:color w:val="auto"/>
                <w:kern w:val="0"/>
                <w:sz w:val="24"/>
                <w:szCs w:val="24"/>
                <w:lang w:val="en-US" w:eastAsia="zh-CN"/>
              </w:rPr>
              <w:t>20</w:t>
            </w:r>
            <w:r>
              <w:rPr>
                <w:rFonts w:hint="eastAsia" w:ascii="宋体" w:hAnsi="宋体" w:eastAsia="宋体" w:cs="宋体"/>
                <w:b/>
                <w:i w:val="0"/>
                <w:iCs w:val="0"/>
                <w:snapToGrid/>
                <w:color w:val="auto"/>
                <w:kern w:val="2"/>
                <w:sz w:val="24"/>
                <w:szCs w:val="24"/>
                <w:lang w:eastAsia="zh-CN"/>
              </w:rPr>
              <w:t>分</w:t>
            </w:r>
            <w:r>
              <w:rPr>
                <w:rFonts w:hint="eastAsia" w:ascii="宋体" w:hAnsi="宋体" w:eastAsia="宋体" w:cs="宋体"/>
                <w:b/>
                <w:i w:val="0"/>
                <w:iCs w:val="0"/>
                <w:snapToGrid/>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评分点</w:t>
            </w:r>
          </w:p>
        </w:tc>
        <w:tc>
          <w:tcPr>
            <w:tcW w:w="7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358" w:firstLineChars="15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评审内容</w:t>
            </w:r>
          </w:p>
        </w:tc>
        <w:tc>
          <w:tcPr>
            <w:tcW w:w="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Cs/>
                <w:i w:val="0"/>
                <w:iCs w:val="0"/>
                <w:snapToGrid/>
                <w:color w:val="000000"/>
                <w:kern w:val="0"/>
                <w:sz w:val="24"/>
                <w:szCs w:val="24"/>
                <w:lang w:val="en-US" w:eastAsia="zh-CN"/>
              </w:rPr>
              <w:t>技术符合性审查</w:t>
            </w:r>
          </w:p>
        </w:tc>
        <w:tc>
          <w:tcPr>
            <w:tcW w:w="803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tabs>
                <w:tab w:val="left" w:pos="327"/>
                <w:tab w:val="left" w:pos="720"/>
              </w:tabs>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i w:val="0"/>
                <w:iCs w:val="0"/>
                <w:snapToGrid/>
                <w:color w:val="000000"/>
                <w:kern w:val="2"/>
                <w:sz w:val="24"/>
                <w:szCs w:val="24"/>
                <w:lang w:eastAsia="zh-CN"/>
              </w:rPr>
            </w:pPr>
            <w:r>
              <w:rPr>
                <w:rFonts w:hint="eastAsia" w:ascii="宋体" w:hAnsi="宋体" w:eastAsia="宋体" w:cs="宋体"/>
                <w:i w:val="0"/>
                <w:iCs w:val="0"/>
                <w:snapToGrid/>
                <w:color w:val="000000"/>
                <w:kern w:val="2"/>
                <w:sz w:val="24"/>
                <w:szCs w:val="24"/>
                <w:lang w:val="en-US" w:eastAsia="zh-CN"/>
              </w:rPr>
              <w:t>供应商</w:t>
            </w:r>
            <w:r>
              <w:rPr>
                <w:rFonts w:hint="eastAsia" w:ascii="宋体" w:hAnsi="宋体" w:eastAsia="宋体" w:cs="宋体"/>
                <w:i w:val="0"/>
                <w:iCs w:val="0"/>
                <w:snapToGrid/>
                <w:color w:val="000000"/>
                <w:kern w:val="2"/>
                <w:sz w:val="24"/>
                <w:szCs w:val="24"/>
                <w:lang w:eastAsia="zh-CN"/>
              </w:rPr>
              <w:t>必须完全满足</w:t>
            </w:r>
            <w:r>
              <w:rPr>
                <w:rFonts w:hint="eastAsia" w:ascii="宋体" w:hAnsi="宋体" w:eastAsia="宋体" w:cs="宋体"/>
                <w:i w:val="0"/>
                <w:iCs w:val="0"/>
                <w:snapToGrid/>
                <w:color w:val="000000"/>
                <w:kern w:val="2"/>
                <w:sz w:val="24"/>
                <w:szCs w:val="24"/>
                <w:lang w:val="en-US" w:eastAsia="zh-CN"/>
              </w:rPr>
              <w:t>磋商</w:t>
            </w:r>
            <w:r>
              <w:rPr>
                <w:rFonts w:hint="eastAsia" w:ascii="宋体" w:hAnsi="宋体" w:eastAsia="宋体" w:cs="宋体"/>
                <w:i w:val="0"/>
                <w:iCs w:val="0"/>
                <w:snapToGrid/>
                <w:color w:val="000000"/>
                <w:kern w:val="2"/>
                <w:sz w:val="24"/>
                <w:szCs w:val="24"/>
                <w:lang w:eastAsia="zh-CN"/>
              </w:rPr>
              <w:t>文件第五章采购需求“技术要求”实质性条款，任意一项不满足作无效</w:t>
            </w:r>
            <w:r>
              <w:rPr>
                <w:rFonts w:hint="eastAsia" w:ascii="宋体" w:hAnsi="宋体" w:eastAsia="宋体" w:cs="宋体"/>
                <w:i w:val="0"/>
                <w:iCs w:val="0"/>
                <w:snapToGrid/>
                <w:color w:val="000000"/>
                <w:kern w:val="2"/>
                <w:sz w:val="24"/>
                <w:szCs w:val="24"/>
                <w:lang w:val="en-US" w:eastAsia="zh-CN"/>
              </w:rPr>
              <w:t>响应</w:t>
            </w:r>
            <w:r>
              <w:rPr>
                <w:rFonts w:hint="eastAsia" w:ascii="宋体" w:hAnsi="宋体" w:eastAsia="宋体" w:cs="宋体"/>
                <w:i w:val="0"/>
                <w:iCs w:val="0"/>
                <w:snapToGrid/>
                <w:color w:val="000000"/>
                <w:kern w:val="2"/>
                <w:sz w:val="24"/>
                <w:szCs w:val="24"/>
                <w:lang w:eastAsia="zh-CN"/>
              </w:rPr>
              <w:t>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bidi="ar"/>
              </w:rPr>
              <w:t>评审依据：技术要求响应</w:t>
            </w:r>
            <w:r>
              <w:rPr>
                <w:rFonts w:hint="eastAsia" w:ascii="宋体" w:hAnsi="宋体" w:eastAsia="宋体" w:cs="宋体"/>
                <w:b/>
                <w:i w:val="0"/>
                <w:iCs w:val="0"/>
                <w:snapToGrid/>
                <w:color w:val="000000"/>
                <w:kern w:val="0"/>
                <w:sz w:val="24"/>
                <w:szCs w:val="24"/>
                <w:lang w:val="en-US" w:eastAsia="zh-CN" w:bidi="ar"/>
              </w:rPr>
              <w:t>/偏离</w:t>
            </w:r>
            <w:r>
              <w:rPr>
                <w:rFonts w:hint="eastAsia" w:ascii="宋体" w:hAnsi="宋体" w:eastAsia="宋体" w:cs="宋体"/>
                <w:b/>
                <w:i w:val="0"/>
                <w:iCs w:val="0"/>
                <w:snapToGrid/>
                <w:color w:val="000000"/>
                <w:kern w:val="0"/>
                <w:sz w:val="24"/>
                <w:szCs w:val="24"/>
                <w:lang w:eastAsia="zh-CN" w:bidi="ar"/>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Cs/>
                <w:i w:val="0"/>
                <w:iCs w:val="0"/>
                <w:snapToGrid/>
                <w:color w:val="000000"/>
                <w:kern w:val="0"/>
                <w:sz w:val="24"/>
                <w:szCs w:val="24"/>
                <w:lang w:eastAsia="zh-CN"/>
              </w:rPr>
              <w:t>售后</w:t>
            </w:r>
          </w:p>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Cs/>
                <w:i w:val="0"/>
                <w:iCs w:val="0"/>
                <w:snapToGrid/>
                <w:color w:val="000000"/>
                <w:kern w:val="0"/>
                <w:sz w:val="24"/>
                <w:szCs w:val="24"/>
                <w:lang w:eastAsia="zh-CN"/>
              </w:rPr>
              <w:t>服务</w:t>
            </w:r>
          </w:p>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Cs/>
                <w:i w:val="0"/>
                <w:iCs w:val="0"/>
                <w:snapToGrid/>
                <w:color w:val="000000"/>
                <w:kern w:val="0"/>
                <w:sz w:val="24"/>
                <w:szCs w:val="24"/>
                <w:lang w:eastAsia="zh-CN"/>
              </w:rPr>
              <w:t>方案</w:t>
            </w:r>
          </w:p>
        </w:tc>
        <w:tc>
          <w:tcPr>
            <w:tcW w:w="7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供应商针对本项目提供售后服务方案，方案包括以下</w:t>
            </w:r>
            <w:r>
              <w:rPr>
                <w:rFonts w:hint="eastAsia" w:ascii="宋体" w:hAnsi="宋体" w:eastAsia="宋体" w:cs="宋体"/>
                <w:sz w:val="24"/>
                <w:szCs w:val="24"/>
                <w:lang w:eastAsia="zh-CN"/>
              </w:rPr>
              <w:t>四</w:t>
            </w:r>
            <w:r>
              <w:rPr>
                <w:rFonts w:hint="eastAsia" w:ascii="宋体" w:hAnsi="宋体" w:eastAsia="宋体" w:cs="宋体"/>
                <w:sz w:val="24"/>
                <w:szCs w:val="24"/>
              </w:rPr>
              <w:t>项内容：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（1）售后服务方案；</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（2）售后服务管理制度；</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（3）售后服务技术支持措施</w:t>
            </w:r>
            <w:r>
              <w:rPr>
                <w:rFonts w:hint="eastAsia" w:ascii="宋体" w:hAnsi="宋体" w:eastAsia="宋体" w:cs="宋体"/>
                <w:sz w:val="24"/>
                <w:szCs w:val="24"/>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应急管理措施。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每有一项内容完全符合本项目采购需求的，该项内容得</w:t>
            </w:r>
            <w:r>
              <w:rPr>
                <w:rFonts w:hint="eastAsia" w:ascii="宋体" w:hAnsi="宋体" w:eastAsia="宋体" w:cs="宋体"/>
                <w:sz w:val="24"/>
                <w:szCs w:val="24"/>
                <w:lang w:val="en-US" w:eastAsia="zh-CN"/>
              </w:rPr>
              <w:t>1</w:t>
            </w:r>
            <w:r>
              <w:rPr>
                <w:rFonts w:hint="eastAsia" w:ascii="宋体" w:hAnsi="宋体" w:eastAsia="宋体" w:cs="宋体"/>
                <w:sz w:val="24"/>
                <w:szCs w:val="24"/>
              </w:rPr>
              <w:t>分；每有一项内容存在缺陷的，该项内容得</w:t>
            </w:r>
            <w:r>
              <w:rPr>
                <w:rFonts w:hint="eastAsia" w:ascii="宋体" w:hAnsi="宋体" w:eastAsia="宋体" w:cs="宋体"/>
                <w:sz w:val="24"/>
                <w:szCs w:val="24"/>
                <w:lang w:val="en-US" w:eastAsia="zh-CN"/>
              </w:rPr>
              <w:t>0.5</w:t>
            </w:r>
            <w:r>
              <w:rPr>
                <w:rFonts w:hint="eastAsia" w:ascii="宋体" w:hAnsi="宋体" w:eastAsia="宋体" w:cs="宋体"/>
                <w:sz w:val="24"/>
                <w:szCs w:val="24"/>
              </w:rPr>
              <w:t>分；每缺一项内容的，该项内容不得分；最高得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“内容缺陷”是指：方案阐述的内容仅罗列了上述要点，没有进行相应的说明、缺少具体的实施措施，方案内容有明显缺失、描述内容不规范、不清晰、不具备可行性等情况。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bCs/>
                <w:sz w:val="24"/>
                <w:szCs w:val="24"/>
              </w:rPr>
              <w:t>评审依据：提供售后服务方案加盖供应商公章。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default" w:ascii="宋体" w:hAnsi="宋体" w:eastAsia="宋体" w:cs="宋体"/>
                <w:bCs/>
                <w:i w:val="0"/>
                <w:iCs w:val="0"/>
                <w:snapToGrid/>
                <w:color w:val="FF0000"/>
                <w:kern w:val="0"/>
                <w:sz w:val="24"/>
                <w:szCs w:val="24"/>
                <w:lang w:val="en-US" w:eastAsia="zh-CN"/>
              </w:rPr>
            </w:pPr>
            <w:r>
              <w:rPr>
                <w:rFonts w:hint="eastAsia" w:ascii="宋体" w:hAnsi="宋体" w:eastAsia="宋体" w:cs="宋体"/>
                <w:color w:val="auto"/>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sz w:val="24"/>
                <w:szCs w:val="24"/>
              </w:rPr>
              <w:t>升级更新服务</w:t>
            </w:r>
          </w:p>
        </w:tc>
        <w:tc>
          <w:tcPr>
            <w:tcW w:w="7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在满足“</w:t>
            </w:r>
            <w:r>
              <w:rPr>
                <w:rFonts w:hint="eastAsia" w:ascii="宋体" w:hAnsi="宋体" w:eastAsia="宋体" w:cs="宋体"/>
                <w:sz w:val="24"/>
                <w:szCs w:val="24"/>
              </w:rPr>
              <w:t>软件升级：每半年至少1次功能升级（基于用户需求及行业发展），每月至少1次安全补丁更新（24 小时内推送）</w:t>
            </w:r>
            <w:r>
              <w:rPr>
                <w:rFonts w:hint="eastAsia" w:ascii="宋体" w:hAnsi="宋体" w:eastAsia="宋体" w:cs="宋体"/>
                <w:color w:val="auto"/>
                <w:sz w:val="24"/>
                <w:szCs w:val="24"/>
                <w:highlight w:val="none"/>
                <w:lang w:eastAsia="zh-CN"/>
              </w:rPr>
              <w:t>”的基础上，增加</w:t>
            </w:r>
            <w:r>
              <w:rPr>
                <w:rFonts w:hint="eastAsia" w:ascii="宋体" w:hAnsi="宋体" w:eastAsia="宋体" w:cs="宋体"/>
                <w:color w:val="auto"/>
                <w:sz w:val="24"/>
                <w:szCs w:val="24"/>
                <w:highlight w:val="none"/>
                <w:lang w:val="en-US" w:eastAsia="zh-CN"/>
              </w:rPr>
              <w:t>1次功能升级，得4分；增加1次安全补丁更新，得4分；本</w:t>
            </w:r>
            <w:r>
              <w:rPr>
                <w:rFonts w:hint="eastAsia" w:ascii="宋体" w:hAnsi="宋体" w:cs="宋体"/>
                <w:color w:val="auto"/>
                <w:sz w:val="24"/>
                <w:szCs w:val="24"/>
                <w:highlight w:val="none"/>
                <w:lang w:val="en-US" w:eastAsia="zh-CN"/>
              </w:rPr>
              <w:t>项</w:t>
            </w:r>
            <w:r>
              <w:rPr>
                <w:rFonts w:hint="eastAsia" w:ascii="宋体" w:hAnsi="宋体" w:eastAsia="宋体" w:cs="宋体"/>
                <w:color w:val="auto"/>
                <w:sz w:val="24"/>
                <w:szCs w:val="24"/>
                <w:highlight w:val="none"/>
                <w:lang w:val="en-US" w:eastAsia="zh-CN"/>
              </w:rPr>
              <w:t>最高得8分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评审依据：提供</w:t>
            </w:r>
            <w:r>
              <w:rPr>
                <w:rFonts w:hint="eastAsia" w:ascii="宋体" w:hAnsi="宋体" w:eastAsia="宋体" w:cs="宋体"/>
                <w:b/>
                <w:bCs/>
                <w:color w:val="auto"/>
                <w:sz w:val="24"/>
                <w:szCs w:val="24"/>
                <w:highlight w:val="none"/>
                <w:lang w:eastAsia="zh-CN"/>
              </w:rPr>
              <w:t>承诺函复印件</w:t>
            </w:r>
            <w:r>
              <w:rPr>
                <w:rFonts w:hint="eastAsia" w:ascii="宋体" w:hAnsi="宋体" w:eastAsia="宋体" w:cs="宋体"/>
                <w:b/>
                <w:bCs/>
                <w:color w:val="auto"/>
                <w:sz w:val="24"/>
                <w:szCs w:val="24"/>
                <w:highlight w:val="none"/>
              </w:rPr>
              <w:t>加盖</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default" w:ascii="宋体" w:hAnsi="宋体" w:eastAsia="宋体" w:cs="宋体"/>
                <w:bCs/>
                <w:i w:val="0"/>
                <w:iCs w:val="0"/>
                <w:snapToGrid/>
                <w:color w:val="FF0000"/>
                <w:kern w:val="0"/>
                <w:sz w:val="24"/>
                <w:szCs w:val="24"/>
                <w:lang w:val="en-US" w:eastAsia="zh-CN"/>
              </w:rPr>
            </w:pPr>
            <w:r>
              <w:rPr>
                <w:rFonts w:hint="eastAsia" w:ascii="宋体" w:hAnsi="宋体" w:eastAsia="宋体" w:cs="宋体"/>
                <w:color w:val="auto"/>
                <w:sz w:val="24"/>
                <w:szCs w:val="24"/>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Style w:val="54"/>
                <w:rFonts w:hint="eastAsia" w:ascii="宋体" w:hAnsi="宋体" w:eastAsia="宋体" w:cs="宋体"/>
                <w:color w:val="000000"/>
                <w:sz w:val="24"/>
                <w:szCs w:val="24"/>
                <w:lang w:eastAsia="zh-CN"/>
              </w:rPr>
            </w:pPr>
            <w:r>
              <w:rPr>
                <w:rStyle w:val="54"/>
                <w:rFonts w:hint="eastAsia" w:ascii="宋体" w:hAnsi="宋体" w:eastAsia="宋体" w:cs="宋体"/>
                <w:color w:val="000000"/>
                <w:sz w:val="24"/>
                <w:szCs w:val="24"/>
                <w:lang w:eastAsia="zh-CN"/>
              </w:rPr>
              <w:t>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i w:val="0"/>
                <w:iCs w:val="0"/>
                <w:snapToGrid/>
                <w:color w:val="000000"/>
                <w:kern w:val="0"/>
                <w:sz w:val="24"/>
                <w:szCs w:val="24"/>
                <w:lang w:eastAsia="zh-CN"/>
              </w:rPr>
            </w:pPr>
            <w:r>
              <w:rPr>
                <w:rStyle w:val="54"/>
                <w:rFonts w:hint="eastAsia" w:ascii="宋体" w:hAnsi="宋体" w:eastAsia="宋体" w:cs="宋体"/>
                <w:color w:val="000000"/>
                <w:sz w:val="24"/>
                <w:szCs w:val="24"/>
                <w:lang w:eastAsia="zh-CN"/>
              </w:rPr>
              <w:t>人员</w:t>
            </w:r>
          </w:p>
        </w:tc>
        <w:tc>
          <w:tcPr>
            <w:tcW w:w="7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在满足“服务期</w:t>
            </w:r>
            <w:r>
              <w:rPr>
                <w:rFonts w:hint="eastAsia" w:ascii="宋体" w:hAnsi="宋体" w:eastAsia="宋体" w:cs="宋体"/>
                <w:color w:val="auto"/>
                <w:sz w:val="24"/>
                <w:szCs w:val="24"/>
                <w:highlight w:val="none"/>
              </w:rPr>
              <w:t>内配备1名</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以上固定的技术人员和</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以上运维人员通过现场服务、远程技术服务、预防性服务、定期专访、远程监控等服务方式，</w:t>
            </w:r>
            <w:r>
              <w:rPr>
                <w:rFonts w:hint="eastAsia" w:ascii="宋体" w:hAnsi="宋体" w:eastAsia="宋体" w:cs="宋体"/>
                <w:color w:val="auto"/>
                <w:sz w:val="24"/>
                <w:szCs w:val="24"/>
                <w:highlight w:val="none"/>
                <w:lang w:eastAsia="zh-CN"/>
              </w:rPr>
              <w:t>向采购人提供平台</w:t>
            </w:r>
            <w:r>
              <w:rPr>
                <w:rFonts w:hint="eastAsia" w:ascii="宋体" w:hAnsi="宋体" w:eastAsia="宋体" w:cs="宋体"/>
                <w:color w:val="auto"/>
                <w:sz w:val="24"/>
                <w:szCs w:val="24"/>
                <w:highlight w:val="none"/>
              </w:rPr>
              <w:t>维保服务。</w:t>
            </w:r>
            <w:r>
              <w:rPr>
                <w:rFonts w:hint="eastAsia" w:ascii="宋体" w:hAnsi="宋体" w:eastAsia="宋体" w:cs="宋体"/>
                <w:color w:val="auto"/>
                <w:sz w:val="24"/>
                <w:szCs w:val="24"/>
                <w:highlight w:val="none"/>
                <w:lang w:eastAsia="zh-CN"/>
              </w:rPr>
              <w:t>”的基础上，增加</w:t>
            </w:r>
            <w:r>
              <w:rPr>
                <w:rFonts w:hint="eastAsia" w:ascii="宋体" w:hAnsi="宋体" w:eastAsia="宋体" w:cs="宋体"/>
                <w:color w:val="auto"/>
                <w:sz w:val="24"/>
                <w:szCs w:val="24"/>
                <w:highlight w:val="none"/>
                <w:lang w:val="en-US" w:eastAsia="zh-CN"/>
              </w:rPr>
              <w:t>1名技术人员得4分；增加1名运维人员得4分；本项最高得8分。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bCs/>
                <w:color w:val="auto"/>
                <w:sz w:val="24"/>
                <w:szCs w:val="24"/>
                <w:highlight w:val="none"/>
              </w:rPr>
              <w:t>评审依据：提供</w:t>
            </w:r>
            <w:r>
              <w:rPr>
                <w:rFonts w:hint="eastAsia" w:ascii="宋体" w:hAnsi="宋体" w:eastAsia="宋体" w:cs="宋体"/>
                <w:b/>
                <w:bCs/>
                <w:color w:val="auto"/>
                <w:sz w:val="24"/>
                <w:szCs w:val="24"/>
                <w:highlight w:val="none"/>
                <w:lang w:eastAsia="zh-CN"/>
              </w:rPr>
              <w:t>承诺函及相关人员名单（名单须包含姓名、电话、职务）</w:t>
            </w:r>
            <w:r>
              <w:rPr>
                <w:rFonts w:hint="eastAsia" w:ascii="宋体" w:hAnsi="宋体" w:eastAsia="宋体" w:cs="宋体"/>
                <w:b/>
                <w:bCs/>
                <w:color w:val="auto"/>
                <w:sz w:val="24"/>
                <w:szCs w:val="24"/>
                <w:highlight w:val="none"/>
              </w:rPr>
              <w:t>加盖</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Cs/>
                <w:i w:val="0"/>
                <w:iCs w:val="0"/>
                <w:snapToGrid/>
                <w:color w:val="FF0000"/>
                <w:kern w:val="0"/>
                <w:sz w:val="24"/>
                <w:szCs w:val="24"/>
                <w:lang w:eastAsia="zh-CN"/>
              </w:rPr>
            </w:pPr>
            <w:r>
              <w:rPr>
                <w:rFonts w:hint="eastAsia" w:ascii="宋体" w:hAnsi="宋体" w:eastAsia="宋体" w:cs="宋体"/>
                <w:color w:val="auto"/>
                <w:sz w:val="24"/>
                <w:szCs w:val="24"/>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1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i w:val="0"/>
                <w:iCs w:val="0"/>
                <w:snapToGrid/>
                <w:color w:val="FF0000"/>
                <w:kern w:val="0"/>
                <w:sz w:val="24"/>
                <w:szCs w:val="24"/>
                <w:lang w:eastAsia="zh-CN"/>
              </w:rPr>
            </w:pPr>
            <w:r>
              <w:rPr>
                <w:rFonts w:hint="eastAsia" w:ascii="宋体" w:hAnsi="宋体" w:eastAsia="宋体" w:cs="宋体"/>
                <w:b/>
                <w:i w:val="0"/>
                <w:iCs w:val="0"/>
                <w:snapToGrid/>
                <w:color w:val="auto"/>
                <w:kern w:val="0"/>
                <w:sz w:val="24"/>
                <w:szCs w:val="24"/>
                <w:lang w:eastAsia="zh-CN"/>
              </w:rPr>
              <w:t>（三）商务部分（</w:t>
            </w:r>
            <w:r>
              <w:rPr>
                <w:rFonts w:hint="eastAsia" w:ascii="宋体" w:hAnsi="宋体" w:eastAsia="宋体" w:cs="宋体"/>
                <w:b/>
                <w:i w:val="0"/>
                <w:iCs w:val="0"/>
                <w:snapToGrid/>
                <w:color w:val="auto"/>
                <w:kern w:val="0"/>
                <w:sz w:val="24"/>
                <w:szCs w:val="24"/>
                <w:lang w:val="en-US" w:eastAsia="zh-CN"/>
              </w:rPr>
              <w:t>10</w:t>
            </w:r>
            <w:r>
              <w:rPr>
                <w:rFonts w:hint="eastAsia" w:ascii="宋体" w:hAnsi="宋体" w:eastAsia="宋体" w:cs="宋体"/>
                <w:b/>
                <w:i w:val="0"/>
                <w:iCs w:val="0"/>
                <w:snapToGrid/>
                <w:color w:val="auto"/>
                <w:kern w:val="0"/>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评分点</w:t>
            </w:r>
          </w:p>
        </w:tc>
        <w:tc>
          <w:tcPr>
            <w:tcW w:w="7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评审内容</w:t>
            </w:r>
          </w:p>
        </w:tc>
        <w:tc>
          <w:tcPr>
            <w:tcW w:w="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Cs/>
                <w:i w:val="0"/>
                <w:iCs w:val="0"/>
                <w:snapToGrid/>
                <w:color w:val="000000"/>
                <w:kern w:val="0"/>
                <w:sz w:val="24"/>
                <w:szCs w:val="24"/>
                <w:lang w:val="en-US" w:eastAsia="zh-CN"/>
              </w:rPr>
              <w:t>商务符合性审查</w:t>
            </w:r>
          </w:p>
        </w:tc>
        <w:tc>
          <w:tcPr>
            <w:tcW w:w="803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tabs>
                <w:tab w:val="left" w:pos="327"/>
                <w:tab w:val="left" w:pos="720"/>
              </w:tabs>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i w:val="0"/>
                <w:iCs w:val="0"/>
                <w:snapToGrid/>
                <w:color w:val="000000"/>
                <w:kern w:val="2"/>
                <w:sz w:val="24"/>
                <w:szCs w:val="24"/>
                <w:lang w:eastAsia="zh-CN"/>
              </w:rPr>
            </w:pPr>
            <w:r>
              <w:rPr>
                <w:rFonts w:hint="eastAsia" w:ascii="宋体" w:hAnsi="宋体" w:eastAsia="宋体" w:cs="宋体"/>
                <w:i w:val="0"/>
                <w:iCs w:val="0"/>
                <w:snapToGrid/>
                <w:color w:val="000000"/>
                <w:kern w:val="2"/>
                <w:sz w:val="24"/>
                <w:szCs w:val="24"/>
                <w:lang w:val="en-US" w:eastAsia="zh-CN"/>
              </w:rPr>
              <w:t>供应商</w:t>
            </w:r>
            <w:r>
              <w:rPr>
                <w:rFonts w:hint="eastAsia" w:ascii="宋体" w:hAnsi="宋体" w:eastAsia="宋体" w:cs="宋体"/>
                <w:i w:val="0"/>
                <w:iCs w:val="0"/>
                <w:snapToGrid/>
                <w:color w:val="000000"/>
                <w:kern w:val="2"/>
                <w:sz w:val="24"/>
                <w:szCs w:val="24"/>
                <w:lang w:eastAsia="zh-CN"/>
              </w:rPr>
              <w:t>必须完全满足</w:t>
            </w:r>
            <w:r>
              <w:rPr>
                <w:rFonts w:hint="eastAsia" w:ascii="宋体" w:hAnsi="宋体" w:eastAsia="宋体" w:cs="宋体"/>
                <w:i w:val="0"/>
                <w:iCs w:val="0"/>
                <w:snapToGrid/>
                <w:color w:val="000000"/>
                <w:kern w:val="2"/>
                <w:sz w:val="24"/>
                <w:szCs w:val="24"/>
                <w:lang w:val="en-US" w:eastAsia="zh-CN"/>
              </w:rPr>
              <w:t>磋商</w:t>
            </w:r>
            <w:r>
              <w:rPr>
                <w:rFonts w:hint="eastAsia" w:ascii="宋体" w:hAnsi="宋体" w:eastAsia="宋体" w:cs="宋体"/>
                <w:i w:val="0"/>
                <w:iCs w:val="0"/>
                <w:snapToGrid/>
                <w:color w:val="000000"/>
                <w:kern w:val="2"/>
                <w:sz w:val="24"/>
                <w:szCs w:val="24"/>
                <w:lang w:eastAsia="zh-CN"/>
              </w:rPr>
              <w:t>文件第五章采购需求“商务要求”实质性条款，任意一项不满足作无效</w:t>
            </w:r>
            <w:r>
              <w:rPr>
                <w:rFonts w:hint="eastAsia" w:ascii="宋体" w:hAnsi="宋体" w:eastAsia="宋体" w:cs="宋体"/>
                <w:i w:val="0"/>
                <w:iCs w:val="0"/>
                <w:snapToGrid/>
                <w:color w:val="000000"/>
                <w:kern w:val="2"/>
                <w:sz w:val="24"/>
                <w:szCs w:val="24"/>
                <w:lang w:val="en-US" w:eastAsia="zh-CN"/>
              </w:rPr>
              <w:t>响应</w:t>
            </w:r>
            <w:r>
              <w:rPr>
                <w:rFonts w:hint="eastAsia" w:ascii="宋体" w:hAnsi="宋体" w:eastAsia="宋体" w:cs="宋体"/>
                <w:i w:val="0"/>
                <w:iCs w:val="0"/>
                <w:snapToGrid/>
                <w:color w:val="000000"/>
                <w:kern w:val="2"/>
                <w:sz w:val="24"/>
                <w:szCs w:val="24"/>
                <w:lang w:eastAsia="zh-CN"/>
              </w:rPr>
              <w:t>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b/>
                <w:i w:val="0"/>
                <w:iCs w:val="0"/>
                <w:snapToGrid/>
                <w:color w:val="000000"/>
                <w:kern w:val="0"/>
                <w:sz w:val="24"/>
                <w:szCs w:val="24"/>
                <w:lang w:eastAsia="zh-CN" w:bidi="ar"/>
              </w:rPr>
              <w:t>评审依据：商务要求响应</w:t>
            </w:r>
            <w:r>
              <w:rPr>
                <w:rFonts w:hint="eastAsia" w:ascii="宋体" w:hAnsi="宋体" w:eastAsia="宋体" w:cs="宋体"/>
                <w:b/>
                <w:i w:val="0"/>
                <w:iCs w:val="0"/>
                <w:snapToGrid/>
                <w:color w:val="000000"/>
                <w:kern w:val="0"/>
                <w:sz w:val="24"/>
                <w:szCs w:val="24"/>
                <w:lang w:val="en-US" w:eastAsia="zh-CN" w:bidi="ar"/>
              </w:rPr>
              <w:t>/偏离</w:t>
            </w:r>
            <w:r>
              <w:rPr>
                <w:rFonts w:hint="eastAsia" w:ascii="宋体" w:hAnsi="宋体" w:eastAsia="宋体" w:cs="宋体"/>
                <w:b/>
                <w:i w:val="0"/>
                <w:iCs w:val="0"/>
                <w:snapToGrid/>
                <w:color w:val="000000"/>
                <w:kern w:val="0"/>
                <w:sz w:val="24"/>
                <w:szCs w:val="24"/>
                <w:lang w:eastAsia="zh-CN" w:bidi="ar"/>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color w:val="auto"/>
                <w:sz w:val="24"/>
                <w:szCs w:val="24"/>
                <w:highlight w:val="none"/>
              </w:rPr>
              <w:t>业绩</w:t>
            </w:r>
          </w:p>
        </w:tc>
        <w:tc>
          <w:tcPr>
            <w:tcW w:w="7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1、供应商自202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w:t>
            </w:r>
            <w:r>
              <w:rPr>
                <w:rFonts w:hint="eastAsia" w:ascii="宋体" w:hAnsi="宋体" w:cs="宋体"/>
                <w:color w:val="auto"/>
                <w:sz w:val="24"/>
                <w:szCs w:val="24"/>
                <w:highlight w:val="none"/>
                <w:lang w:val="en-US" w:eastAsia="zh-CN"/>
              </w:rPr>
              <w:t>以</w:t>
            </w:r>
            <w:r>
              <w:rPr>
                <w:rFonts w:hint="eastAsia" w:ascii="宋体" w:hAnsi="宋体" w:eastAsia="宋体" w:cs="宋体"/>
                <w:color w:val="auto"/>
                <w:sz w:val="24"/>
                <w:szCs w:val="24"/>
                <w:highlight w:val="none"/>
              </w:rPr>
              <w:t>合同签订时间为准）</w:t>
            </w:r>
            <w:r>
              <w:rPr>
                <w:rFonts w:hint="eastAsia" w:ascii="宋体" w:hAnsi="宋体" w:cs="宋体"/>
                <w:color w:val="auto"/>
                <w:sz w:val="24"/>
                <w:szCs w:val="24"/>
                <w:highlight w:val="none"/>
                <w:lang w:val="en-US" w:eastAsia="zh-CN"/>
              </w:rPr>
              <w:t>以来</w:t>
            </w:r>
            <w:r>
              <w:rPr>
                <w:rFonts w:hint="eastAsia" w:ascii="宋体" w:hAnsi="宋体" w:eastAsia="宋体" w:cs="宋体"/>
                <w:color w:val="auto"/>
                <w:sz w:val="24"/>
                <w:szCs w:val="24"/>
                <w:highlight w:val="none"/>
              </w:rPr>
              <w:t>，具有同类项目业绩案例（</w:t>
            </w:r>
            <w:r>
              <w:rPr>
                <w:rFonts w:hint="eastAsia" w:ascii="宋体" w:hAnsi="宋体" w:eastAsia="宋体" w:cs="宋体"/>
                <w:i w:val="0"/>
                <w:iCs w:val="0"/>
                <w:snapToGrid w:val="0"/>
                <w:color w:val="auto"/>
                <w:spacing w:val="0"/>
                <w:kern w:val="0"/>
                <w:position w:val="0"/>
                <w:sz w:val="24"/>
                <w:szCs w:val="24"/>
                <w:highlight w:val="none"/>
                <w:u w:val="none"/>
                <w:lang w:val="en-US" w:eastAsia="zh-CN"/>
              </w:rPr>
              <w:t>教学大数据平台</w:t>
            </w:r>
            <w:r>
              <w:rPr>
                <w:rFonts w:hint="eastAsia" w:ascii="宋体" w:hAnsi="宋体" w:eastAsia="宋体" w:cs="宋体"/>
                <w:color w:val="auto"/>
                <w:sz w:val="24"/>
                <w:szCs w:val="24"/>
                <w:highlight w:val="none"/>
              </w:rPr>
              <w:t>），每提供一个得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分，最</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textAlignment w:val="auto"/>
              <w:rPr>
                <w:rFonts w:hint="eastAsia" w:ascii="宋体" w:hAnsi="宋体" w:eastAsia="宋体" w:cs="宋体"/>
                <w:i w:val="0"/>
                <w:iCs w:val="0"/>
                <w:snapToGrid/>
                <w:color w:val="000000"/>
                <w:kern w:val="2"/>
                <w:sz w:val="24"/>
                <w:szCs w:val="24"/>
                <w:lang w:eastAsia="zh-CN"/>
              </w:rPr>
            </w:pPr>
            <w:r>
              <w:rPr>
                <w:rFonts w:hint="eastAsia" w:ascii="宋体" w:hAnsi="宋体" w:eastAsia="宋体" w:cs="宋体"/>
                <w:b/>
                <w:bCs/>
                <w:color w:val="auto"/>
                <w:sz w:val="24"/>
                <w:szCs w:val="24"/>
                <w:highlight w:val="none"/>
              </w:rPr>
              <w:t>评审依据：提供合同复印件加盖</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Cs/>
                <w:i w:val="0"/>
                <w:iCs w:val="0"/>
                <w:snapToGrid/>
                <w:color w:val="000000"/>
                <w:kern w:val="0"/>
                <w:sz w:val="24"/>
                <w:szCs w:val="24"/>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i w:val="0"/>
                <w:iCs w:val="0"/>
                <w:snapToGrid/>
                <w:color w:val="auto"/>
                <w:kern w:val="0"/>
                <w:sz w:val="24"/>
                <w:szCs w:val="24"/>
                <w:lang w:eastAsia="zh-CN"/>
              </w:rPr>
            </w:pPr>
            <w:r>
              <w:rPr>
                <w:rFonts w:hint="eastAsia" w:ascii="宋体" w:hAnsi="宋体" w:eastAsia="宋体" w:cs="宋体"/>
                <w:bCs/>
                <w:i w:val="0"/>
                <w:iCs w:val="0"/>
                <w:snapToGrid/>
                <w:color w:val="auto"/>
                <w:kern w:val="0"/>
                <w:sz w:val="24"/>
                <w:szCs w:val="24"/>
                <w:lang w:eastAsia="zh-CN"/>
              </w:rPr>
              <w:t>响应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i w:val="0"/>
                <w:iCs w:val="0"/>
                <w:snapToGrid/>
                <w:color w:val="auto"/>
                <w:kern w:val="0"/>
                <w:sz w:val="24"/>
                <w:szCs w:val="24"/>
                <w:lang w:eastAsia="zh-CN"/>
              </w:rPr>
            </w:pPr>
            <w:r>
              <w:rPr>
                <w:rFonts w:hint="eastAsia" w:ascii="宋体" w:hAnsi="宋体" w:eastAsia="宋体" w:cs="宋体"/>
                <w:bCs/>
                <w:i w:val="0"/>
                <w:iCs w:val="0"/>
                <w:snapToGrid/>
                <w:color w:val="auto"/>
                <w:kern w:val="0"/>
                <w:sz w:val="24"/>
                <w:szCs w:val="24"/>
                <w:lang w:eastAsia="zh-CN"/>
              </w:rPr>
              <w:t>能力</w:t>
            </w:r>
          </w:p>
        </w:tc>
        <w:tc>
          <w:tcPr>
            <w:tcW w:w="7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供应商承诺平台在使用期间</w:t>
            </w:r>
            <w:r>
              <w:rPr>
                <w:rFonts w:hint="eastAsia" w:ascii="宋体" w:hAnsi="宋体" w:eastAsia="宋体" w:cs="宋体"/>
                <w:color w:val="auto"/>
                <w:sz w:val="24"/>
                <w:szCs w:val="24"/>
                <w:highlight w:val="none"/>
              </w:rPr>
              <w:t>，如出现</w:t>
            </w:r>
            <w:r>
              <w:rPr>
                <w:rFonts w:hint="eastAsia" w:ascii="宋体" w:hAnsi="宋体" w:eastAsia="宋体" w:cs="宋体"/>
                <w:color w:val="auto"/>
                <w:sz w:val="24"/>
                <w:szCs w:val="24"/>
                <w:highlight w:val="none"/>
                <w:lang w:eastAsia="zh-CN"/>
              </w:rPr>
              <w:t>运行</w:t>
            </w:r>
            <w:r>
              <w:rPr>
                <w:rFonts w:hint="eastAsia" w:ascii="宋体" w:hAnsi="宋体" w:eastAsia="宋体" w:cs="宋体"/>
                <w:color w:val="auto"/>
                <w:sz w:val="24"/>
                <w:szCs w:val="24"/>
                <w:highlight w:val="none"/>
              </w:rPr>
              <w:t>故障，成交供应商在接到采购人通知后</w:t>
            </w:r>
            <w:r>
              <w:rPr>
                <w:rFonts w:hint="eastAsia" w:ascii="宋体" w:hAnsi="宋体" w:eastAsia="宋体" w:cs="宋体"/>
                <w:color w:val="auto"/>
                <w:sz w:val="24"/>
                <w:szCs w:val="24"/>
                <w:highlight w:val="none"/>
                <w:lang w:val="en-US" w:eastAsia="zh-CN"/>
              </w:rPr>
              <w:t>2小时</w:t>
            </w:r>
            <w:r>
              <w:rPr>
                <w:rFonts w:hint="eastAsia" w:ascii="宋体" w:hAnsi="宋体" w:eastAsia="宋体" w:cs="宋体"/>
                <w:color w:val="auto"/>
                <w:sz w:val="24"/>
                <w:szCs w:val="24"/>
                <w:highlight w:val="none"/>
              </w:rPr>
              <w:t>内做出响应，</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小时内给予技术支持或到达现场维</w:t>
            </w:r>
            <w:r>
              <w:rPr>
                <w:rFonts w:hint="eastAsia" w:ascii="宋体" w:hAnsi="宋体" w:eastAsia="宋体" w:cs="宋体"/>
                <w:color w:val="auto"/>
                <w:sz w:val="24"/>
                <w:szCs w:val="24"/>
                <w:highlight w:val="none"/>
                <w:lang w:eastAsia="zh-CN"/>
              </w:rPr>
              <w:t>护</w:t>
            </w:r>
            <w:r>
              <w:rPr>
                <w:rFonts w:hint="eastAsia" w:ascii="宋体" w:hAnsi="宋体" w:eastAsia="宋体" w:cs="宋体"/>
                <w:color w:val="auto"/>
                <w:sz w:val="24"/>
                <w:szCs w:val="24"/>
                <w:highlight w:val="none"/>
              </w:rPr>
              <w:t>排除故障</w:t>
            </w:r>
            <w:r>
              <w:rPr>
                <w:rFonts w:hint="eastAsia" w:ascii="宋体" w:hAnsi="宋体" w:eastAsia="宋体" w:cs="宋体"/>
                <w:color w:val="auto"/>
                <w:sz w:val="24"/>
                <w:szCs w:val="24"/>
                <w:highlight w:val="none"/>
                <w:lang w:eastAsia="zh-CN"/>
              </w:rPr>
              <w:t>，满足得</w:t>
            </w:r>
            <w:r>
              <w:rPr>
                <w:rFonts w:hint="eastAsia" w:ascii="宋体" w:hAnsi="宋体" w:eastAsia="宋体" w:cs="宋体"/>
                <w:color w:val="auto"/>
                <w:sz w:val="24"/>
                <w:szCs w:val="24"/>
                <w:highlight w:val="none"/>
                <w:lang w:val="en-US" w:eastAsia="zh-CN"/>
              </w:rPr>
              <w:t>4分。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评审依据：提供</w:t>
            </w:r>
            <w:r>
              <w:rPr>
                <w:rFonts w:hint="eastAsia" w:ascii="宋体" w:hAnsi="宋体" w:eastAsia="宋体" w:cs="宋体"/>
                <w:b/>
                <w:bCs/>
                <w:color w:val="auto"/>
                <w:sz w:val="24"/>
                <w:szCs w:val="24"/>
                <w:highlight w:val="none"/>
                <w:lang w:eastAsia="zh-CN"/>
              </w:rPr>
              <w:t>承诺函</w:t>
            </w:r>
            <w:r>
              <w:rPr>
                <w:rFonts w:hint="eastAsia" w:ascii="宋体" w:hAnsi="宋体" w:eastAsia="宋体" w:cs="宋体"/>
                <w:b/>
                <w:bCs/>
                <w:color w:val="auto"/>
                <w:sz w:val="24"/>
                <w:szCs w:val="24"/>
                <w:highlight w:val="none"/>
              </w:rPr>
              <w:t>加盖</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公章。</w:t>
            </w:r>
          </w:p>
        </w:tc>
        <w:tc>
          <w:tcPr>
            <w:tcW w:w="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60" w:lineRule="exact"/>
              <w:ind w:left="0" w:right="0"/>
              <w:jc w:val="center"/>
              <w:textAlignment w:val="auto"/>
              <w:rPr>
                <w:rFonts w:hint="eastAsia" w:ascii="宋体" w:hAnsi="宋体" w:eastAsia="宋体" w:cs="宋体"/>
                <w:bCs/>
                <w:i w:val="0"/>
                <w:iCs w:val="0"/>
                <w:snapToGrid/>
                <w:color w:val="FF0000"/>
                <w:kern w:val="0"/>
                <w:sz w:val="24"/>
                <w:szCs w:val="24"/>
                <w:lang w:val="en-US" w:eastAsia="zh-CN"/>
              </w:rPr>
            </w:pPr>
            <w:r>
              <w:rPr>
                <w:rFonts w:hint="eastAsia" w:ascii="宋体" w:hAnsi="宋体" w:eastAsia="宋体" w:cs="宋体"/>
                <w:color w:val="auto"/>
                <w:sz w:val="24"/>
                <w:szCs w:val="24"/>
                <w:highlight w:val="none"/>
                <w:lang w:val="en-US" w:eastAsia="zh-CN"/>
              </w:rPr>
              <w:t>4分</w:t>
            </w:r>
          </w:p>
        </w:tc>
      </w:tr>
    </w:tbl>
    <w:p>
      <w:pPr>
        <w:tabs>
          <w:tab w:val="left" w:pos="284"/>
          <w:tab w:val="left" w:pos="993"/>
        </w:tabs>
        <w:spacing w:line="460" w:lineRule="exact"/>
        <w:rPr>
          <w:rFonts w:hint="eastAsia" w:ascii="宋体" w:hAnsi="宋体" w:cs="宋体"/>
          <w:b/>
          <w:bCs/>
          <w:sz w:val="24"/>
          <w:szCs w:val="24"/>
          <w:highlight w:val="none"/>
        </w:rPr>
      </w:pPr>
    </w:p>
    <w:p>
      <w:pPr>
        <w:widowControl w:val="0"/>
        <w:spacing w:line="460" w:lineRule="exact"/>
        <w:rPr>
          <w:rFonts w:ascii="宋体" w:hAnsi="宋体"/>
          <w:b w:val="0"/>
          <w:bCs w:val="0"/>
          <w:lang w:eastAsia="zh-CN"/>
        </w:rPr>
      </w:pPr>
    </w:p>
    <w:sectPr>
      <w:headerReference r:id="rId3" w:type="default"/>
      <w:footerReference r:id="rId4" w:type="default"/>
      <w:pgSz w:w="11906" w:h="16839"/>
      <w:pgMar w:top="1234" w:right="1304" w:bottom="1156" w:left="1307"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6E13B8-7A3A-423E-B10A-39B54BE7727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等线">
    <w:panose1 w:val="02010600030101010101"/>
    <w:charset w:val="7A"/>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134FAD0D-AA8D-48EA-823E-B1E6FB5E595D}"/>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-47625</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3.75pt;height:144pt;width:144pt;mso-position-horizontal:center;mso-position-horizontal-relative:margin;mso-wrap-style:none;z-index:251659264;mso-width-relative:page;mso-height-relative:page;" filled="f" stroked="f" coordsize="21600,21600" o:gfxdata="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&#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L+M31AAAAAcBAAAPAAAAAAAAAAEAIAAAACIAAABk&#10;cnMvZG93bnJldi54bWxQSwECFAAUAAAACACHTuJAoOeOb9EBAACiAwAADgAAAAAAAAABACAAAAAj&#10;AQAAZHJzL2Uyb0RvYy54bWxQSwUGAAAAAAYABgBZAQAAZg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3"/>
      </w:pBdr>
      <w:spacing w:line="360" w:lineRule="atLea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3CC05"/>
    <w:multiLevelType w:val="singleLevel"/>
    <w:tmpl w:val="FF13CC05"/>
    <w:lvl w:ilvl="0" w:tentative="0">
      <w:start w:val="1"/>
      <w:numFmt w:val="decimal"/>
      <w:suff w:val="nothing"/>
      <w:lvlText w:val="(%1)"/>
      <w:lvlJc w:val="left"/>
      <w:pPr>
        <w:ind w:left="84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2"/>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TliNzBiNDAzZGEwOTZjNGMxNjA1ODEzYTkwMjQifQ=="/>
  </w:docVars>
  <w:rsids>
    <w:rsidRoot w:val="00F72BE7"/>
    <w:rsid w:val="001A2968"/>
    <w:rsid w:val="002E00F2"/>
    <w:rsid w:val="0031198B"/>
    <w:rsid w:val="00412A37"/>
    <w:rsid w:val="006308AB"/>
    <w:rsid w:val="00847DE1"/>
    <w:rsid w:val="008A4B90"/>
    <w:rsid w:val="00B54D17"/>
    <w:rsid w:val="00CD47AB"/>
    <w:rsid w:val="00D4409B"/>
    <w:rsid w:val="00D6521D"/>
    <w:rsid w:val="00E0031B"/>
    <w:rsid w:val="00F72BE7"/>
    <w:rsid w:val="0137560B"/>
    <w:rsid w:val="013D404E"/>
    <w:rsid w:val="014707D5"/>
    <w:rsid w:val="01490617"/>
    <w:rsid w:val="0183453D"/>
    <w:rsid w:val="01D91333"/>
    <w:rsid w:val="01F176F8"/>
    <w:rsid w:val="01F62F61"/>
    <w:rsid w:val="0217465E"/>
    <w:rsid w:val="02AE5C3D"/>
    <w:rsid w:val="02C95F7F"/>
    <w:rsid w:val="02F62DEB"/>
    <w:rsid w:val="030845DC"/>
    <w:rsid w:val="03A14F29"/>
    <w:rsid w:val="03E74BAA"/>
    <w:rsid w:val="044D1E30"/>
    <w:rsid w:val="049525BD"/>
    <w:rsid w:val="049D76C3"/>
    <w:rsid w:val="04A507BC"/>
    <w:rsid w:val="04AC06B1"/>
    <w:rsid w:val="04C87536"/>
    <w:rsid w:val="04C95300"/>
    <w:rsid w:val="04F64D19"/>
    <w:rsid w:val="052B325D"/>
    <w:rsid w:val="056B197B"/>
    <w:rsid w:val="05A000F0"/>
    <w:rsid w:val="05F07017"/>
    <w:rsid w:val="060317A8"/>
    <w:rsid w:val="06147E59"/>
    <w:rsid w:val="062D088E"/>
    <w:rsid w:val="067A5F0E"/>
    <w:rsid w:val="071D689A"/>
    <w:rsid w:val="074107DA"/>
    <w:rsid w:val="076566A7"/>
    <w:rsid w:val="0768220B"/>
    <w:rsid w:val="079A2F4B"/>
    <w:rsid w:val="07B64740"/>
    <w:rsid w:val="081F5E69"/>
    <w:rsid w:val="082E25CB"/>
    <w:rsid w:val="08D11B99"/>
    <w:rsid w:val="08D800EA"/>
    <w:rsid w:val="08D86F1C"/>
    <w:rsid w:val="09214A58"/>
    <w:rsid w:val="092403B3"/>
    <w:rsid w:val="093F51ED"/>
    <w:rsid w:val="094B7F45"/>
    <w:rsid w:val="098C4275"/>
    <w:rsid w:val="099A0675"/>
    <w:rsid w:val="099C2AD0"/>
    <w:rsid w:val="09C672E8"/>
    <w:rsid w:val="09CA2D09"/>
    <w:rsid w:val="09F77876"/>
    <w:rsid w:val="0A5474C3"/>
    <w:rsid w:val="0A5F7AD5"/>
    <w:rsid w:val="0A630BD7"/>
    <w:rsid w:val="0A880415"/>
    <w:rsid w:val="0AAA50E9"/>
    <w:rsid w:val="0ABB6AF5"/>
    <w:rsid w:val="0ACA7865"/>
    <w:rsid w:val="0AFB3396"/>
    <w:rsid w:val="0B6941DA"/>
    <w:rsid w:val="0BA53A2D"/>
    <w:rsid w:val="0BCE5A19"/>
    <w:rsid w:val="0BD25EA5"/>
    <w:rsid w:val="0C027923"/>
    <w:rsid w:val="0C1E16F8"/>
    <w:rsid w:val="0CEA5470"/>
    <w:rsid w:val="0D3B1B72"/>
    <w:rsid w:val="0D5D3E94"/>
    <w:rsid w:val="0DB63714"/>
    <w:rsid w:val="0DBF7C0D"/>
    <w:rsid w:val="0DD264ED"/>
    <w:rsid w:val="0DD809E2"/>
    <w:rsid w:val="0E045967"/>
    <w:rsid w:val="0E056A05"/>
    <w:rsid w:val="0E093118"/>
    <w:rsid w:val="0E306947"/>
    <w:rsid w:val="0E697416"/>
    <w:rsid w:val="0E7019A5"/>
    <w:rsid w:val="0EB53971"/>
    <w:rsid w:val="0F8346BB"/>
    <w:rsid w:val="0FAD17DF"/>
    <w:rsid w:val="104737B6"/>
    <w:rsid w:val="107F306E"/>
    <w:rsid w:val="10D80401"/>
    <w:rsid w:val="114948FA"/>
    <w:rsid w:val="11515ABE"/>
    <w:rsid w:val="115E6BEF"/>
    <w:rsid w:val="11D81D3B"/>
    <w:rsid w:val="11E54405"/>
    <w:rsid w:val="126757A9"/>
    <w:rsid w:val="1292624E"/>
    <w:rsid w:val="12993BC0"/>
    <w:rsid w:val="129C0FBA"/>
    <w:rsid w:val="12C025AA"/>
    <w:rsid w:val="136046DE"/>
    <w:rsid w:val="13774B73"/>
    <w:rsid w:val="139F6FB4"/>
    <w:rsid w:val="13AA5959"/>
    <w:rsid w:val="13CB4909"/>
    <w:rsid w:val="143E0B0F"/>
    <w:rsid w:val="143F42F3"/>
    <w:rsid w:val="14B561ED"/>
    <w:rsid w:val="14C53111"/>
    <w:rsid w:val="14F13A81"/>
    <w:rsid w:val="1538599A"/>
    <w:rsid w:val="158B0678"/>
    <w:rsid w:val="158F5E01"/>
    <w:rsid w:val="15916DD0"/>
    <w:rsid w:val="1607158C"/>
    <w:rsid w:val="167209B0"/>
    <w:rsid w:val="16A356CC"/>
    <w:rsid w:val="16C93F42"/>
    <w:rsid w:val="16E37DD9"/>
    <w:rsid w:val="1706734A"/>
    <w:rsid w:val="173418E5"/>
    <w:rsid w:val="17342109"/>
    <w:rsid w:val="17386C64"/>
    <w:rsid w:val="177A05E9"/>
    <w:rsid w:val="17D243DD"/>
    <w:rsid w:val="17D60801"/>
    <w:rsid w:val="17E108DF"/>
    <w:rsid w:val="182E6B2B"/>
    <w:rsid w:val="18363C5F"/>
    <w:rsid w:val="186009B5"/>
    <w:rsid w:val="18846779"/>
    <w:rsid w:val="18991B4E"/>
    <w:rsid w:val="18A01635"/>
    <w:rsid w:val="18C97898"/>
    <w:rsid w:val="18E84F59"/>
    <w:rsid w:val="18F643B3"/>
    <w:rsid w:val="19161B44"/>
    <w:rsid w:val="1917122A"/>
    <w:rsid w:val="19241D0A"/>
    <w:rsid w:val="193B777F"/>
    <w:rsid w:val="193E2DCB"/>
    <w:rsid w:val="196206F1"/>
    <w:rsid w:val="196C2926"/>
    <w:rsid w:val="1977026D"/>
    <w:rsid w:val="197F664F"/>
    <w:rsid w:val="19B77BF5"/>
    <w:rsid w:val="19F33BB6"/>
    <w:rsid w:val="19F37E2D"/>
    <w:rsid w:val="1A534654"/>
    <w:rsid w:val="1A551963"/>
    <w:rsid w:val="1ADA6B24"/>
    <w:rsid w:val="1AF44F33"/>
    <w:rsid w:val="1B0E67CD"/>
    <w:rsid w:val="1B2873F8"/>
    <w:rsid w:val="1B28788F"/>
    <w:rsid w:val="1B4548E5"/>
    <w:rsid w:val="1B610FF3"/>
    <w:rsid w:val="1B702014"/>
    <w:rsid w:val="1BD47A17"/>
    <w:rsid w:val="1C8A6328"/>
    <w:rsid w:val="1CF80317"/>
    <w:rsid w:val="1D085BCA"/>
    <w:rsid w:val="1D0F3839"/>
    <w:rsid w:val="1D74500E"/>
    <w:rsid w:val="1DD65CC8"/>
    <w:rsid w:val="1DD800C0"/>
    <w:rsid w:val="1E291713"/>
    <w:rsid w:val="1E43791C"/>
    <w:rsid w:val="1E5310C7"/>
    <w:rsid w:val="1E550743"/>
    <w:rsid w:val="1E830574"/>
    <w:rsid w:val="1EC41FC5"/>
    <w:rsid w:val="1EF26B32"/>
    <w:rsid w:val="1F2952CA"/>
    <w:rsid w:val="1F777037"/>
    <w:rsid w:val="1FA616CA"/>
    <w:rsid w:val="1FAB6CE1"/>
    <w:rsid w:val="1FB24210"/>
    <w:rsid w:val="1FF34AC9"/>
    <w:rsid w:val="206155F1"/>
    <w:rsid w:val="20B54DB2"/>
    <w:rsid w:val="21042B4C"/>
    <w:rsid w:val="213A566A"/>
    <w:rsid w:val="2195298B"/>
    <w:rsid w:val="2198560E"/>
    <w:rsid w:val="21CB3F90"/>
    <w:rsid w:val="21CE72BA"/>
    <w:rsid w:val="21E670F4"/>
    <w:rsid w:val="21EF55AB"/>
    <w:rsid w:val="22072FB3"/>
    <w:rsid w:val="22112B50"/>
    <w:rsid w:val="224433AA"/>
    <w:rsid w:val="224D0523"/>
    <w:rsid w:val="225B2099"/>
    <w:rsid w:val="22702B26"/>
    <w:rsid w:val="22791318"/>
    <w:rsid w:val="22837AA1"/>
    <w:rsid w:val="228A7081"/>
    <w:rsid w:val="229C0C3D"/>
    <w:rsid w:val="22A85555"/>
    <w:rsid w:val="22FD3CF7"/>
    <w:rsid w:val="23056708"/>
    <w:rsid w:val="234D0A23"/>
    <w:rsid w:val="235F406A"/>
    <w:rsid w:val="23746473"/>
    <w:rsid w:val="239A4724"/>
    <w:rsid w:val="23C04A55"/>
    <w:rsid w:val="23C87E61"/>
    <w:rsid w:val="23E21274"/>
    <w:rsid w:val="241412F8"/>
    <w:rsid w:val="242536D0"/>
    <w:rsid w:val="245E4322"/>
    <w:rsid w:val="248144B4"/>
    <w:rsid w:val="248A3369"/>
    <w:rsid w:val="24E16D01"/>
    <w:rsid w:val="253B28B5"/>
    <w:rsid w:val="25533D7B"/>
    <w:rsid w:val="25823163"/>
    <w:rsid w:val="25CD7137"/>
    <w:rsid w:val="25E2090D"/>
    <w:rsid w:val="25F37706"/>
    <w:rsid w:val="264D4DAD"/>
    <w:rsid w:val="26BE3321"/>
    <w:rsid w:val="26CF7759"/>
    <w:rsid w:val="2722776F"/>
    <w:rsid w:val="27255CA7"/>
    <w:rsid w:val="27293DA3"/>
    <w:rsid w:val="27457A1B"/>
    <w:rsid w:val="274B704D"/>
    <w:rsid w:val="2778394C"/>
    <w:rsid w:val="279C2686"/>
    <w:rsid w:val="27CB6172"/>
    <w:rsid w:val="27EF1D1C"/>
    <w:rsid w:val="280660E7"/>
    <w:rsid w:val="2823481F"/>
    <w:rsid w:val="284E24A2"/>
    <w:rsid w:val="28706D19"/>
    <w:rsid w:val="28A27541"/>
    <w:rsid w:val="28CD1B01"/>
    <w:rsid w:val="28CF7D70"/>
    <w:rsid w:val="28E76302"/>
    <w:rsid w:val="291F3D28"/>
    <w:rsid w:val="29226266"/>
    <w:rsid w:val="2987256D"/>
    <w:rsid w:val="2A071140"/>
    <w:rsid w:val="2AC967C3"/>
    <w:rsid w:val="2AD510B6"/>
    <w:rsid w:val="2AFA0B1C"/>
    <w:rsid w:val="2B0F5B99"/>
    <w:rsid w:val="2B774C09"/>
    <w:rsid w:val="2B8A1EA0"/>
    <w:rsid w:val="2BB52838"/>
    <w:rsid w:val="2BDA2720"/>
    <w:rsid w:val="2BE93C1A"/>
    <w:rsid w:val="2C695F59"/>
    <w:rsid w:val="2CA90A4C"/>
    <w:rsid w:val="2CBA0563"/>
    <w:rsid w:val="2CF55C1F"/>
    <w:rsid w:val="2D665E74"/>
    <w:rsid w:val="2D99286E"/>
    <w:rsid w:val="2DAC07F4"/>
    <w:rsid w:val="2DC40922"/>
    <w:rsid w:val="2DF41412"/>
    <w:rsid w:val="2E234DC0"/>
    <w:rsid w:val="2E2B0E5E"/>
    <w:rsid w:val="2E575FCC"/>
    <w:rsid w:val="2E627104"/>
    <w:rsid w:val="2E693B84"/>
    <w:rsid w:val="2EB108A7"/>
    <w:rsid w:val="2EBB11D7"/>
    <w:rsid w:val="2F5F3B7C"/>
    <w:rsid w:val="2F68074A"/>
    <w:rsid w:val="2F7075FF"/>
    <w:rsid w:val="2F786BDD"/>
    <w:rsid w:val="2F902AB5"/>
    <w:rsid w:val="2FB63E0A"/>
    <w:rsid w:val="2FC17E5A"/>
    <w:rsid w:val="2FF975F4"/>
    <w:rsid w:val="30233A33"/>
    <w:rsid w:val="30311392"/>
    <w:rsid w:val="305E1890"/>
    <w:rsid w:val="307C1BEC"/>
    <w:rsid w:val="30A43A04"/>
    <w:rsid w:val="30BA2638"/>
    <w:rsid w:val="30E63872"/>
    <w:rsid w:val="31046251"/>
    <w:rsid w:val="31172EF5"/>
    <w:rsid w:val="31353885"/>
    <w:rsid w:val="314D409C"/>
    <w:rsid w:val="31526CE7"/>
    <w:rsid w:val="316B62D0"/>
    <w:rsid w:val="317D4740"/>
    <w:rsid w:val="318178A1"/>
    <w:rsid w:val="3195334D"/>
    <w:rsid w:val="31AC0DC2"/>
    <w:rsid w:val="31C55E0D"/>
    <w:rsid w:val="31E76326"/>
    <w:rsid w:val="31FE5396"/>
    <w:rsid w:val="321C6AB4"/>
    <w:rsid w:val="3233535A"/>
    <w:rsid w:val="329A3D4F"/>
    <w:rsid w:val="32BE2A91"/>
    <w:rsid w:val="33074498"/>
    <w:rsid w:val="33AE791F"/>
    <w:rsid w:val="33C06DA7"/>
    <w:rsid w:val="33F26834"/>
    <w:rsid w:val="34325184"/>
    <w:rsid w:val="346E1C27"/>
    <w:rsid w:val="34CA2551"/>
    <w:rsid w:val="34DF14AF"/>
    <w:rsid w:val="34F27B67"/>
    <w:rsid w:val="35591BE5"/>
    <w:rsid w:val="359D5DD6"/>
    <w:rsid w:val="36064E50"/>
    <w:rsid w:val="361E1B63"/>
    <w:rsid w:val="362863AF"/>
    <w:rsid w:val="36597105"/>
    <w:rsid w:val="36844F22"/>
    <w:rsid w:val="36CA1CEB"/>
    <w:rsid w:val="36D038F2"/>
    <w:rsid w:val="374B6A13"/>
    <w:rsid w:val="37CC0470"/>
    <w:rsid w:val="389465C2"/>
    <w:rsid w:val="3899102A"/>
    <w:rsid w:val="38FF3ECD"/>
    <w:rsid w:val="390B251F"/>
    <w:rsid w:val="390F7E89"/>
    <w:rsid w:val="39162FC5"/>
    <w:rsid w:val="39225E0E"/>
    <w:rsid w:val="39800A0C"/>
    <w:rsid w:val="39D96E5F"/>
    <w:rsid w:val="39EB4452"/>
    <w:rsid w:val="3A0C3554"/>
    <w:rsid w:val="3A1B5E20"/>
    <w:rsid w:val="3A1D4E99"/>
    <w:rsid w:val="3A216CEA"/>
    <w:rsid w:val="3A5244D1"/>
    <w:rsid w:val="3A6B125E"/>
    <w:rsid w:val="3AA924AD"/>
    <w:rsid w:val="3B163B4E"/>
    <w:rsid w:val="3B6D578A"/>
    <w:rsid w:val="3B7E51F7"/>
    <w:rsid w:val="3B8811A4"/>
    <w:rsid w:val="3B9D352A"/>
    <w:rsid w:val="3BAC10D3"/>
    <w:rsid w:val="3BB865B6"/>
    <w:rsid w:val="3BD8303F"/>
    <w:rsid w:val="3C0F220A"/>
    <w:rsid w:val="3C267544"/>
    <w:rsid w:val="3C4D31A2"/>
    <w:rsid w:val="3C5A3D43"/>
    <w:rsid w:val="3C8C6D91"/>
    <w:rsid w:val="3CD76231"/>
    <w:rsid w:val="3D36354C"/>
    <w:rsid w:val="3D7D7AB7"/>
    <w:rsid w:val="3DB657B3"/>
    <w:rsid w:val="3DB72FC9"/>
    <w:rsid w:val="3DBB413B"/>
    <w:rsid w:val="3DC93A44"/>
    <w:rsid w:val="3DD11BB1"/>
    <w:rsid w:val="3DE051EE"/>
    <w:rsid w:val="3DEB0EC4"/>
    <w:rsid w:val="3DED4811"/>
    <w:rsid w:val="3E1F3CAD"/>
    <w:rsid w:val="3E292C29"/>
    <w:rsid w:val="3E3A7756"/>
    <w:rsid w:val="3E78615B"/>
    <w:rsid w:val="3E8E35FE"/>
    <w:rsid w:val="3E970704"/>
    <w:rsid w:val="3E9854B3"/>
    <w:rsid w:val="3EE37DED"/>
    <w:rsid w:val="3F19434D"/>
    <w:rsid w:val="3F891E69"/>
    <w:rsid w:val="3F9609BC"/>
    <w:rsid w:val="3F984C13"/>
    <w:rsid w:val="40026051"/>
    <w:rsid w:val="401961DF"/>
    <w:rsid w:val="402F15E7"/>
    <w:rsid w:val="40644F5E"/>
    <w:rsid w:val="406E36E7"/>
    <w:rsid w:val="40C907D4"/>
    <w:rsid w:val="40D01E95"/>
    <w:rsid w:val="40D82635"/>
    <w:rsid w:val="41076015"/>
    <w:rsid w:val="411C44F4"/>
    <w:rsid w:val="412755BD"/>
    <w:rsid w:val="414C1C7A"/>
    <w:rsid w:val="414D77A0"/>
    <w:rsid w:val="415303D5"/>
    <w:rsid w:val="416D1BF0"/>
    <w:rsid w:val="41ED7135"/>
    <w:rsid w:val="422F48A1"/>
    <w:rsid w:val="428E7BE1"/>
    <w:rsid w:val="42B20B36"/>
    <w:rsid w:val="42B87240"/>
    <w:rsid w:val="42C56EC3"/>
    <w:rsid w:val="42CC7312"/>
    <w:rsid w:val="42D31499"/>
    <w:rsid w:val="42FB66C8"/>
    <w:rsid w:val="430F2F5F"/>
    <w:rsid w:val="43192944"/>
    <w:rsid w:val="43394480"/>
    <w:rsid w:val="43404F60"/>
    <w:rsid w:val="434D6BCE"/>
    <w:rsid w:val="43A51B15"/>
    <w:rsid w:val="43C33D49"/>
    <w:rsid w:val="44131BBA"/>
    <w:rsid w:val="447255E6"/>
    <w:rsid w:val="448B4867"/>
    <w:rsid w:val="44A34615"/>
    <w:rsid w:val="44CD7E13"/>
    <w:rsid w:val="44FC5BB9"/>
    <w:rsid w:val="453A628D"/>
    <w:rsid w:val="454B2248"/>
    <w:rsid w:val="4550160D"/>
    <w:rsid w:val="459B4F7E"/>
    <w:rsid w:val="45A330BB"/>
    <w:rsid w:val="45B61DB8"/>
    <w:rsid w:val="45D2152F"/>
    <w:rsid w:val="45ED441E"/>
    <w:rsid w:val="45EE0F95"/>
    <w:rsid w:val="45F42F70"/>
    <w:rsid w:val="45F85626"/>
    <w:rsid w:val="46080139"/>
    <w:rsid w:val="462273F5"/>
    <w:rsid w:val="464A3A20"/>
    <w:rsid w:val="466556B5"/>
    <w:rsid w:val="46710516"/>
    <w:rsid w:val="4671255E"/>
    <w:rsid w:val="468A4D8B"/>
    <w:rsid w:val="4692195B"/>
    <w:rsid w:val="46E44703"/>
    <w:rsid w:val="470E15D4"/>
    <w:rsid w:val="47234C6F"/>
    <w:rsid w:val="476E0DE5"/>
    <w:rsid w:val="47E36768"/>
    <w:rsid w:val="47F941DE"/>
    <w:rsid w:val="484418FD"/>
    <w:rsid w:val="48643D4D"/>
    <w:rsid w:val="48733C90"/>
    <w:rsid w:val="4879178A"/>
    <w:rsid w:val="487D7E3E"/>
    <w:rsid w:val="48943F06"/>
    <w:rsid w:val="48967192"/>
    <w:rsid w:val="489A6313"/>
    <w:rsid w:val="48A95C04"/>
    <w:rsid w:val="48BB3C9E"/>
    <w:rsid w:val="48CE0A5C"/>
    <w:rsid w:val="48EB4CA0"/>
    <w:rsid w:val="49117305"/>
    <w:rsid w:val="4949445D"/>
    <w:rsid w:val="494E22CA"/>
    <w:rsid w:val="49962931"/>
    <w:rsid w:val="49B51BAE"/>
    <w:rsid w:val="49C7090D"/>
    <w:rsid w:val="4A442B3D"/>
    <w:rsid w:val="4A5E47CC"/>
    <w:rsid w:val="4A7E09CA"/>
    <w:rsid w:val="4A881849"/>
    <w:rsid w:val="4A884CC6"/>
    <w:rsid w:val="4AA52D9C"/>
    <w:rsid w:val="4AA55BC3"/>
    <w:rsid w:val="4ABC7D85"/>
    <w:rsid w:val="4AD827D0"/>
    <w:rsid w:val="4BCD1C09"/>
    <w:rsid w:val="4C201CDE"/>
    <w:rsid w:val="4C254B4B"/>
    <w:rsid w:val="4C2B6930"/>
    <w:rsid w:val="4C455C43"/>
    <w:rsid w:val="4C7B1665"/>
    <w:rsid w:val="4C7C3630"/>
    <w:rsid w:val="4C92075D"/>
    <w:rsid w:val="4CA441C7"/>
    <w:rsid w:val="4CC07F53"/>
    <w:rsid w:val="4CD01739"/>
    <w:rsid w:val="4D07114B"/>
    <w:rsid w:val="4D381CBD"/>
    <w:rsid w:val="4D403EDA"/>
    <w:rsid w:val="4D954046"/>
    <w:rsid w:val="4DC42B98"/>
    <w:rsid w:val="4DF71B22"/>
    <w:rsid w:val="4E0256F8"/>
    <w:rsid w:val="4E0B6A19"/>
    <w:rsid w:val="4E202AF3"/>
    <w:rsid w:val="4E29093D"/>
    <w:rsid w:val="4E3628DD"/>
    <w:rsid w:val="4E487C6D"/>
    <w:rsid w:val="4E6D29C4"/>
    <w:rsid w:val="4E9A0D74"/>
    <w:rsid w:val="4EE72FE2"/>
    <w:rsid w:val="4F282F37"/>
    <w:rsid w:val="4F441719"/>
    <w:rsid w:val="4F701691"/>
    <w:rsid w:val="4FAA2095"/>
    <w:rsid w:val="4FC60E49"/>
    <w:rsid w:val="4FF52C71"/>
    <w:rsid w:val="50137E07"/>
    <w:rsid w:val="503A7A08"/>
    <w:rsid w:val="5055041F"/>
    <w:rsid w:val="509A51EA"/>
    <w:rsid w:val="509E3ED1"/>
    <w:rsid w:val="50B138A7"/>
    <w:rsid w:val="50B415EA"/>
    <w:rsid w:val="514E559A"/>
    <w:rsid w:val="51E90E1F"/>
    <w:rsid w:val="51E92988"/>
    <w:rsid w:val="520E62B8"/>
    <w:rsid w:val="52263E21"/>
    <w:rsid w:val="528312E8"/>
    <w:rsid w:val="529A4BA7"/>
    <w:rsid w:val="52B50FFA"/>
    <w:rsid w:val="52BD5F36"/>
    <w:rsid w:val="52DA54E7"/>
    <w:rsid w:val="52E468A6"/>
    <w:rsid w:val="52E8669F"/>
    <w:rsid w:val="531F42E7"/>
    <w:rsid w:val="535E7C92"/>
    <w:rsid w:val="53D6797D"/>
    <w:rsid w:val="53E775E0"/>
    <w:rsid w:val="545D4AE8"/>
    <w:rsid w:val="54BC690A"/>
    <w:rsid w:val="54E12281"/>
    <w:rsid w:val="54FD5330"/>
    <w:rsid w:val="55132EB9"/>
    <w:rsid w:val="553C122E"/>
    <w:rsid w:val="55D61E8E"/>
    <w:rsid w:val="55E101CF"/>
    <w:rsid w:val="55F00828"/>
    <w:rsid w:val="56431446"/>
    <w:rsid w:val="56E5591B"/>
    <w:rsid w:val="57631674"/>
    <w:rsid w:val="576C66C6"/>
    <w:rsid w:val="5794495B"/>
    <w:rsid w:val="57A500D0"/>
    <w:rsid w:val="57BE55F9"/>
    <w:rsid w:val="57C351F2"/>
    <w:rsid w:val="57E11E3C"/>
    <w:rsid w:val="57F347A6"/>
    <w:rsid w:val="57F8000E"/>
    <w:rsid w:val="58532224"/>
    <w:rsid w:val="586236D9"/>
    <w:rsid w:val="586903C5"/>
    <w:rsid w:val="58711142"/>
    <w:rsid w:val="5900361E"/>
    <w:rsid w:val="591A7404"/>
    <w:rsid w:val="59213594"/>
    <w:rsid w:val="593212FE"/>
    <w:rsid w:val="59590F80"/>
    <w:rsid w:val="59954846"/>
    <w:rsid w:val="59967813"/>
    <w:rsid w:val="59A732EE"/>
    <w:rsid w:val="59C3464B"/>
    <w:rsid w:val="59D52770"/>
    <w:rsid w:val="59DE2BBE"/>
    <w:rsid w:val="59ED4668"/>
    <w:rsid w:val="5A296BA4"/>
    <w:rsid w:val="5A3215B5"/>
    <w:rsid w:val="5A410A6F"/>
    <w:rsid w:val="5A997D7B"/>
    <w:rsid w:val="5AD85ED5"/>
    <w:rsid w:val="5AF54CD9"/>
    <w:rsid w:val="5B487A9F"/>
    <w:rsid w:val="5B89006B"/>
    <w:rsid w:val="5B9C33A6"/>
    <w:rsid w:val="5BD668B8"/>
    <w:rsid w:val="5BE34B31"/>
    <w:rsid w:val="5C0F5926"/>
    <w:rsid w:val="5C5B0B6B"/>
    <w:rsid w:val="5C65447A"/>
    <w:rsid w:val="5CBD5A36"/>
    <w:rsid w:val="5CC02D81"/>
    <w:rsid w:val="5CCD039C"/>
    <w:rsid w:val="5CE05C01"/>
    <w:rsid w:val="5D067F46"/>
    <w:rsid w:val="5DEA6484"/>
    <w:rsid w:val="5E2A0506"/>
    <w:rsid w:val="5EA66A16"/>
    <w:rsid w:val="5EB01642"/>
    <w:rsid w:val="5F003E3C"/>
    <w:rsid w:val="5F5244A8"/>
    <w:rsid w:val="5F595E8D"/>
    <w:rsid w:val="5F8A2976"/>
    <w:rsid w:val="5F8B5C0B"/>
    <w:rsid w:val="5FB9070F"/>
    <w:rsid w:val="5FD56E87"/>
    <w:rsid w:val="5FE039CC"/>
    <w:rsid w:val="60502867"/>
    <w:rsid w:val="60591866"/>
    <w:rsid w:val="606C1599"/>
    <w:rsid w:val="60964868"/>
    <w:rsid w:val="609E76CE"/>
    <w:rsid w:val="60C31E90"/>
    <w:rsid w:val="60CA62C0"/>
    <w:rsid w:val="60D137C0"/>
    <w:rsid w:val="60EE6452"/>
    <w:rsid w:val="60F7080B"/>
    <w:rsid w:val="611C2FBF"/>
    <w:rsid w:val="613D03AF"/>
    <w:rsid w:val="61412A26"/>
    <w:rsid w:val="61986847"/>
    <w:rsid w:val="61C5000F"/>
    <w:rsid w:val="62840C9B"/>
    <w:rsid w:val="62917095"/>
    <w:rsid w:val="62BA0AE5"/>
    <w:rsid w:val="62E95123"/>
    <w:rsid w:val="63027F93"/>
    <w:rsid w:val="63312626"/>
    <w:rsid w:val="63616C72"/>
    <w:rsid w:val="63753EA0"/>
    <w:rsid w:val="63923347"/>
    <w:rsid w:val="63A60D41"/>
    <w:rsid w:val="63C45248"/>
    <w:rsid w:val="63C6035F"/>
    <w:rsid w:val="63EF1280"/>
    <w:rsid w:val="63F67AE4"/>
    <w:rsid w:val="647318B3"/>
    <w:rsid w:val="649A1D1D"/>
    <w:rsid w:val="64E04304"/>
    <w:rsid w:val="64E30040"/>
    <w:rsid w:val="64EC4A56"/>
    <w:rsid w:val="659B691E"/>
    <w:rsid w:val="65B23DC5"/>
    <w:rsid w:val="65D242C5"/>
    <w:rsid w:val="65E75AA3"/>
    <w:rsid w:val="65F10142"/>
    <w:rsid w:val="66124991"/>
    <w:rsid w:val="66372A2B"/>
    <w:rsid w:val="663F32AC"/>
    <w:rsid w:val="66770C98"/>
    <w:rsid w:val="669E4476"/>
    <w:rsid w:val="66E10C4D"/>
    <w:rsid w:val="66EA5584"/>
    <w:rsid w:val="67FD069B"/>
    <w:rsid w:val="68502200"/>
    <w:rsid w:val="685D140B"/>
    <w:rsid w:val="68AF2172"/>
    <w:rsid w:val="68D47A7B"/>
    <w:rsid w:val="68DF193E"/>
    <w:rsid w:val="68E80759"/>
    <w:rsid w:val="68E84E3F"/>
    <w:rsid w:val="68EB5016"/>
    <w:rsid w:val="68F04F40"/>
    <w:rsid w:val="68F76E5C"/>
    <w:rsid w:val="691A565F"/>
    <w:rsid w:val="69455133"/>
    <w:rsid w:val="69937B96"/>
    <w:rsid w:val="69C2222A"/>
    <w:rsid w:val="6A3757AC"/>
    <w:rsid w:val="6A701523"/>
    <w:rsid w:val="6A9C2A7B"/>
    <w:rsid w:val="6AC1406F"/>
    <w:rsid w:val="6AD54BB5"/>
    <w:rsid w:val="6B264A3A"/>
    <w:rsid w:val="6B3634BA"/>
    <w:rsid w:val="6B4120C8"/>
    <w:rsid w:val="6BDD42B9"/>
    <w:rsid w:val="6BE84649"/>
    <w:rsid w:val="6C085287"/>
    <w:rsid w:val="6C401523"/>
    <w:rsid w:val="6C537AB1"/>
    <w:rsid w:val="6CB843CF"/>
    <w:rsid w:val="6CD00EA6"/>
    <w:rsid w:val="6CD26C28"/>
    <w:rsid w:val="6CE6131C"/>
    <w:rsid w:val="6CEB1759"/>
    <w:rsid w:val="6D313420"/>
    <w:rsid w:val="6D54763D"/>
    <w:rsid w:val="6DDB7D5E"/>
    <w:rsid w:val="6DDD5A51"/>
    <w:rsid w:val="6DE51FC5"/>
    <w:rsid w:val="6DED2D3B"/>
    <w:rsid w:val="6E414422"/>
    <w:rsid w:val="6EA15698"/>
    <w:rsid w:val="6EA231BA"/>
    <w:rsid w:val="6EE11B51"/>
    <w:rsid w:val="6F2E742E"/>
    <w:rsid w:val="6F40256E"/>
    <w:rsid w:val="6F410095"/>
    <w:rsid w:val="6F482D42"/>
    <w:rsid w:val="6FA523D2"/>
    <w:rsid w:val="701045B5"/>
    <w:rsid w:val="703D37EB"/>
    <w:rsid w:val="70C71D41"/>
    <w:rsid w:val="70E21403"/>
    <w:rsid w:val="70FA674D"/>
    <w:rsid w:val="70FF289E"/>
    <w:rsid w:val="712D6B22"/>
    <w:rsid w:val="714B0D57"/>
    <w:rsid w:val="715959B6"/>
    <w:rsid w:val="715B4B81"/>
    <w:rsid w:val="715F1DCE"/>
    <w:rsid w:val="717B055E"/>
    <w:rsid w:val="71A128C0"/>
    <w:rsid w:val="71F475E4"/>
    <w:rsid w:val="720A6E64"/>
    <w:rsid w:val="723B701D"/>
    <w:rsid w:val="727A5D97"/>
    <w:rsid w:val="72872262"/>
    <w:rsid w:val="729E26DA"/>
    <w:rsid w:val="7301390F"/>
    <w:rsid w:val="738549F4"/>
    <w:rsid w:val="738A274E"/>
    <w:rsid w:val="73B07EB2"/>
    <w:rsid w:val="73ED585D"/>
    <w:rsid w:val="741E6BF6"/>
    <w:rsid w:val="7471020F"/>
    <w:rsid w:val="747131CA"/>
    <w:rsid w:val="747607E0"/>
    <w:rsid w:val="74885165"/>
    <w:rsid w:val="757A7E5C"/>
    <w:rsid w:val="76065B94"/>
    <w:rsid w:val="76110D92"/>
    <w:rsid w:val="768C7E47"/>
    <w:rsid w:val="76D56593"/>
    <w:rsid w:val="77DF59B7"/>
    <w:rsid w:val="78462278"/>
    <w:rsid w:val="78A463ED"/>
    <w:rsid w:val="78AE6557"/>
    <w:rsid w:val="792C3B64"/>
    <w:rsid w:val="797057FE"/>
    <w:rsid w:val="79D25EED"/>
    <w:rsid w:val="79FE1404"/>
    <w:rsid w:val="7A043533"/>
    <w:rsid w:val="7A067F11"/>
    <w:rsid w:val="7A4B1055"/>
    <w:rsid w:val="7A534C54"/>
    <w:rsid w:val="7ADC47C3"/>
    <w:rsid w:val="7B280FD1"/>
    <w:rsid w:val="7B4B6523"/>
    <w:rsid w:val="7B8A69E6"/>
    <w:rsid w:val="7BD07335"/>
    <w:rsid w:val="7BD227A0"/>
    <w:rsid w:val="7C2D5E41"/>
    <w:rsid w:val="7C907F65"/>
    <w:rsid w:val="7CA010C3"/>
    <w:rsid w:val="7CA34E54"/>
    <w:rsid w:val="7CCE6A29"/>
    <w:rsid w:val="7CF33270"/>
    <w:rsid w:val="7D02603F"/>
    <w:rsid w:val="7D2C2B03"/>
    <w:rsid w:val="7D4A280A"/>
    <w:rsid w:val="7D657644"/>
    <w:rsid w:val="7D6B6A41"/>
    <w:rsid w:val="7DAE4B47"/>
    <w:rsid w:val="7DDB1C1B"/>
    <w:rsid w:val="7DE94A78"/>
    <w:rsid w:val="7E146C66"/>
    <w:rsid w:val="7E1D3989"/>
    <w:rsid w:val="7E244E09"/>
    <w:rsid w:val="7E417867"/>
    <w:rsid w:val="7ED61979"/>
    <w:rsid w:val="7F051133"/>
    <w:rsid w:val="7F150C8C"/>
    <w:rsid w:val="7F3948E4"/>
    <w:rsid w:val="7F61079B"/>
    <w:rsid w:val="7F836F37"/>
    <w:rsid w:val="7FCC39AA"/>
    <w:rsid w:val="7FDB19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宋体" w:cs="宋体"/>
      <w:snapToGrid w:val="0"/>
      <w:spacing w:val="-1"/>
      <w:sz w:val="24"/>
      <w:szCs w:val="24"/>
      <w:lang w:val="en-US" w:eastAsia="en-US" w:bidi="ar-SA"/>
    </w:rPr>
  </w:style>
  <w:style w:type="paragraph" w:styleId="2">
    <w:name w:val="heading 1"/>
    <w:basedOn w:val="1"/>
    <w:next w:val="1"/>
    <w:autoRedefine/>
    <w:qFormat/>
    <w:uiPriority w:val="0"/>
    <w:pPr>
      <w:keepNext/>
      <w:keepLines/>
      <w:widowControl w:val="0"/>
      <w:spacing w:line="460" w:lineRule="exact"/>
      <w:jc w:val="center"/>
      <w:outlineLvl w:val="0"/>
    </w:pPr>
    <w:rPr>
      <w:rFonts w:ascii="Times New Roman" w:hAnsi="Times New Roman" w:cs="Times New Roman"/>
      <w:b/>
      <w:bCs/>
      <w:kern w:val="44"/>
      <w:sz w:val="32"/>
    </w:rPr>
  </w:style>
  <w:style w:type="paragraph" w:styleId="3">
    <w:name w:val="heading 2"/>
    <w:basedOn w:val="1"/>
    <w:next w:val="1"/>
    <w:autoRedefine/>
    <w:qFormat/>
    <w:uiPriority w:val="0"/>
    <w:pPr>
      <w:keepNext/>
      <w:keepLines/>
      <w:kinsoku/>
      <w:spacing w:line="460" w:lineRule="exact"/>
      <w:outlineLvl w:val="1"/>
    </w:pPr>
    <w:rPr>
      <w:rFonts w:ascii="宋体" w:hAnsi="宋体"/>
      <w:b/>
      <w:bCs/>
      <w:spacing w:val="0"/>
      <w:szCs w:val="32"/>
    </w:rPr>
  </w:style>
  <w:style w:type="paragraph" w:styleId="4">
    <w:name w:val="heading 3"/>
    <w:basedOn w:val="1"/>
    <w:next w:val="1"/>
    <w:autoRedefine/>
    <w:unhideWhenUsed/>
    <w:qFormat/>
    <w:uiPriority w:val="0"/>
    <w:pPr>
      <w:keepNext/>
      <w:keepLines/>
      <w:kinsoku/>
      <w:spacing w:line="460" w:lineRule="exact"/>
      <w:jc w:val="center"/>
      <w:outlineLvl w:val="2"/>
    </w:pPr>
    <w:rPr>
      <w:rFonts w:ascii="Times New Roman" w:hAnsi="Times New Roman"/>
      <w:b/>
      <w:spacing w:val="0"/>
    </w:rPr>
  </w:style>
  <w:style w:type="paragraph" w:styleId="5">
    <w:name w:val="heading 4"/>
    <w:basedOn w:val="1"/>
    <w:next w:val="1"/>
    <w:link w:val="36"/>
    <w:autoRedefine/>
    <w:unhideWhenUsed/>
    <w:qFormat/>
    <w:uiPriority w:val="0"/>
    <w:pPr>
      <w:keepNext/>
      <w:keepLines/>
      <w:spacing w:line="372" w:lineRule="auto"/>
      <w:outlineLvl w:val="3"/>
    </w:pPr>
    <w:rPr>
      <w:rFonts w:eastAsia="黑体"/>
      <w:b/>
      <w:sz w:val="28"/>
    </w:rPr>
  </w:style>
  <w:style w:type="character" w:default="1" w:styleId="27">
    <w:name w:val="Default Paragraph Font"/>
    <w:autoRedefine/>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able of authorities"/>
    <w:basedOn w:val="1"/>
    <w:next w:val="1"/>
    <w:autoRedefine/>
    <w:unhideWhenUsed/>
    <w:qFormat/>
    <w:uiPriority w:val="99"/>
    <w:pPr>
      <w:ind w:left="420" w:leftChars="200"/>
    </w:pPr>
    <w:rPr>
      <w:szCs w:val="21"/>
    </w:rPr>
  </w:style>
  <w:style w:type="paragraph" w:styleId="7">
    <w:name w:val="Normal Indent"/>
    <w:basedOn w:val="1"/>
    <w:autoRedefine/>
    <w:qFormat/>
    <w:uiPriority w:val="0"/>
    <w:pPr>
      <w:widowControl/>
      <w:ind w:firstLine="420"/>
      <w:jc w:val="left"/>
    </w:pPr>
    <w:rPr>
      <w:kern w:val="0"/>
      <w:sz w:val="20"/>
      <w:szCs w:val="20"/>
    </w:rPr>
  </w:style>
  <w:style w:type="paragraph" w:styleId="8">
    <w:name w:val="Document Map"/>
    <w:basedOn w:val="1"/>
    <w:link w:val="52"/>
    <w:qFormat/>
    <w:uiPriority w:val="0"/>
    <w:rPr>
      <w:rFonts w:ascii="宋体"/>
      <w:sz w:val="18"/>
      <w:szCs w:val="18"/>
    </w:rPr>
  </w:style>
  <w:style w:type="paragraph" w:styleId="9">
    <w:name w:val="annotation text"/>
    <w:basedOn w:val="1"/>
    <w:autoRedefine/>
    <w:qFormat/>
    <w:uiPriority w:val="0"/>
  </w:style>
  <w:style w:type="paragraph" w:styleId="10">
    <w:name w:val="Body Text"/>
    <w:basedOn w:val="1"/>
    <w:autoRedefine/>
    <w:qFormat/>
    <w:uiPriority w:val="0"/>
    <w:rPr>
      <w:rFonts w:ascii="仿宋" w:hAnsi="仿宋" w:eastAsia="仿宋" w:cs="仿宋"/>
      <w:sz w:val="30"/>
      <w:szCs w:val="30"/>
    </w:rPr>
  </w:style>
  <w:style w:type="paragraph" w:styleId="11">
    <w:name w:val="Body Text Indent"/>
    <w:basedOn w:val="1"/>
    <w:autoRedefine/>
    <w:unhideWhenUsed/>
    <w:qFormat/>
    <w:uiPriority w:val="99"/>
    <w:pPr>
      <w:spacing w:after="120"/>
      <w:ind w:left="420" w:leftChars="200"/>
    </w:pPr>
    <w:rPr>
      <w:rFonts w:eastAsia="微软雅黑"/>
      <w:szCs w:val="20"/>
    </w:rPr>
  </w:style>
  <w:style w:type="paragraph" w:styleId="12">
    <w:name w:val="toc 3"/>
    <w:basedOn w:val="1"/>
    <w:next w:val="1"/>
    <w:qFormat/>
    <w:uiPriority w:val="0"/>
    <w:pPr>
      <w:ind w:left="840" w:leftChars="400"/>
    </w:pPr>
  </w:style>
  <w:style w:type="paragraph" w:styleId="13">
    <w:name w:val="Plain Text"/>
    <w:basedOn w:val="1"/>
    <w:autoRedefine/>
    <w:qFormat/>
    <w:uiPriority w:val="0"/>
    <w:rPr>
      <w:rFonts w:ascii="宋体" w:hAnsi="Courier New"/>
      <w:sz w:val="20"/>
      <w:szCs w:val="21"/>
    </w:rPr>
  </w:style>
  <w:style w:type="paragraph" w:styleId="14">
    <w:name w:val="Balloon Text"/>
    <w:basedOn w:val="1"/>
    <w:link w:val="51"/>
    <w:autoRedefine/>
    <w:qFormat/>
    <w:uiPriority w:val="0"/>
    <w:rPr>
      <w:sz w:val="18"/>
      <w:szCs w:val="18"/>
    </w:rPr>
  </w:style>
  <w:style w:type="paragraph" w:styleId="15">
    <w:name w:val="footer"/>
    <w:basedOn w:val="1"/>
    <w:autoRedefine/>
    <w:qFormat/>
    <w:uiPriority w:val="0"/>
    <w:pPr>
      <w:tabs>
        <w:tab w:val="center" w:pos="4153"/>
        <w:tab w:val="right" w:pos="8306"/>
      </w:tabs>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autoRedefine/>
    <w:qFormat/>
    <w:uiPriority w:val="0"/>
  </w:style>
  <w:style w:type="paragraph" w:styleId="18">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autoRedefine/>
    <w:unhideWhenUsed/>
    <w:qFormat/>
    <w:uiPriority w:val="0"/>
    <w:pPr>
      <w:snapToGrid w:val="0"/>
      <w:jc w:val="left"/>
    </w:pPr>
    <w:rPr>
      <w:sz w:val="18"/>
    </w:rPr>
  </w:style>
  <w:style w:type="paragraph" w:styleId="20">
    <w:name w:val="Body Text Indent 3"/>
    <w:basedOn w:val="1"/>
    <w:autoRedefine/>
    <w:qFormat/>
    <w:uiPriority w:val="0"/>
    <w:pPr>
      <w:autoSpaceDE w:val="0"/>
      <w:autoSpaceDN w:val="0"/>
      <w:adjustRightInd w:val="0"/>
      <w:spacing w:line="360" w:lineRule="auto"/>
      <w:ind w:firstLine="570"/>
      <w:textAlignment w:val="baseline"/>
    </w:pPr>
    <w:rPr>
      <w:rFonts w:ascii="宋体"/>
      <w:kern w:val="0"/>
      <w:sz w:val="28"/>
    </w:rPr>
  </w:style>
  <w:style w:type="paragraph" w:styleId="21">
    <w:name w:val="toc 2"/>
    <w:basedOn w:val="1"/>
    <w:next w:val="1"/>
    <w:autoRedefine/>
    <w:qFormat/>
    <w:uiPriority w:val="0"/>
    <w:pPr>
      <w:keepNext w:val="0"/>
      <w:keepLines w:val="0"/>
      <w:widowControl w:val="0"/>
      <w:suppressLineNumbers w:val="0"/>
      <w:ind w:left="420" w:leftChars="200" w:right="283" w:rightChars="135"/>
      <w:jc w:val="both"/>
    </w:pPr>
    <w:rPr>
      <w:rFonts w:hint="default" w:ascii="Times New Roman" w:hAnsi="Times New Roman" w:eastAsia="宋体" w:cs="Times New Roman"/>
      <w:kern w:val="2"/>
      <w:sz w:val="21"/>
      <w:szCs w:val="21"/>
      <w:lang w:val="en-US" w:eastAsia="zh-CN" w:bidi="ar"/>
    </w:rPr>
  </w:style>
  <w:style w:type="paragraph" w:styleId="22">
    <w:name w:val="Normal (Web)"/>
    <w:basedOn w:val="1"/>
    <w:autoRedefine/>
    <w:qFormat/>
    <w:uiPriority w:val="0"/>
    <w:pPr>
      <w:spacing w:before="100" w:beforeAutospacing="1" w:after="100" w:afterAutospacing="1"/>
    </w:pPr>
    <w:rPr>
      <w:rFonts w:ascii="宋体" w:hAnsi="宋体"/>
    </w:rPr>
  </w:style>
  <w:style w:type="paragraph" w:styleId="23">
    <w:name w:val="Body Text First Indent"/>
    <w:basedOn w:val="10"/>
    <w:autoRedefine/>
    <w:qFormat/>
    <w:uiPriority w:val="0"/>
    <w:pPr>
      <w:ind w:firstLine="420" w:firstLineChars="100"/>
    </w:pPr>
  </w:style>
  <w:style w:type="paragraph" w:styleId="24">
    <w:name w:val="Body Text First Indent 2"/>
    <w:basedOn w:val="11"/>
    <w:next w:val="23"/>
    <w:autoRedefine/>
    <w:qFormat/>
    <w:uiPriority w:val="0"/>
    <w:pPr>
      <w:keepNext w:val="0"/>
      <w:keepLines w:val="0"/>
      <w:widowControl w:val="0"/>
      <w:suppressLineNumbers w:val="0"/>
      <w:ind w:left="105" w:leftChars="50" w:firstLine="420" w:firstLineChars="200"/>
      <w:jc w:val="both"/>
    </w:pPr>
    <w:rPr>
      <w:rFonts w:hint="eastAsia" w:ascii="宋体" w:hAnsi="宋体" w:eastAsia="宋体" w:cs="Times New Roman"/>
      <w:kern w:val="2"/>
      <w:sz w:val="21"/>
      <w:szCs w:val="21"/>
      <w:lang w:val="en-US" w:eastAsia="zh-CN" w:bidi="ar"/>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rPr>
  </w:style>
  <w:style w:type="character" w:styleId="29">
    <w:name w:val="page number"/>
    <w:basedOn w:val="27"/>
    <w:autoRedefine/>
    <w:qFormat/>
    <w:uiPriority w:val="99"/>
    <w:rPr>
      <w:rFonts w:cs="Times New Roman"/>
    </w:rPr>
  </w:style>
  <w:style w:type="character" w:styleId="30">
    <w:name w:val="Emphasis"/>
    <w:qFormat/>
    <w:uiPriority w:val="0"/>
  </w:style>
  <w:style w:type="character" w:styleId="31">
    <w:name w:val="Hyperlink"/>
    <w:basedOn w:val="27"/>
    <w:autoRedefine/>
    <w:qFormat/>
    <w:uiPriority w:val="0"/>
    <w:rPr>
      <w:color w:val="0000FF"/>
      <w:u w:val="single"/>
    </w:rPr>
  </w:style>
  <w:style w:type="character" w:styleId="32">
    <w:name w:val="annotation reference"/>
    <w:autoRedefine/>
    <w:unhideWhenUsed/>
    <w:qFormat/>
    <w:uiPriority w:val="0"/>
    <w:rPr>
      <w:sz w:val="21"/>
      <w:szCs w:val="21"/>
    </w:rPr>
  </w:style>
  <w:style w:type="paragraph" w:customStyle="1" w:styleId="33">
    <w:name w:val="表格文字"/>
    <w:basedOn w:val="1"/>
    <w:autoRedefine/>
    <w:qFormat/>
    <w:uiPriority w:val="0"/>
    <w:pPr>
      <w:spacing w:before="25" w:after="25"/>
      <w:jc w:val="left"/>
    </w:pPr>
    <w:rPr>
      <w:bCs/>
      <w:spacing w:val="10"/>
      <w:kern w:val="0"/>
    </w:rPr>
  </w:style>
  <w:style w:type="paragraph" w:customStyle="1" w:styleId="3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Normal Indent"/>
    <w:basedOn w:val="1"/>
    <w:qFormat/>
    <w:uiPriority w:val="0"/>
    <w:pPr>
      <w:widowControl/>
      <w:ind w:firstLine="420" w:firstLineChars="200"/>
    </w:pPr>
  </w:style>
  <w:style w:type="character" w:customStyle="1" w:styleId="36">
    <w:name w:val="标题 4 Char"/>
    <w:link w:val="5"/>
    <w:autoRedefine/>
    <w:qFormat/>
    <w:uiPriority w:val="0"/>
    <w:rPr>
      <w:rFonts w:ascii="Arial" w:hAnsi="Arial" w:eastAsia="黑体"/>
      <w:b/>
      <w:sz w:val="28"/>
    </w:rPr>
  </w:style>
  <w:style w:type="paragraph" w:customStyle="1" w:styleId="37">
    <w:name w:val="Normal Indent1"/>
    <w:basedOn w:val="1"/>
    <w:autoRedefine/>
    <w:qFormat/>
    <w:uiPriority w:val="0"/>
    <w:pPr>
      <w:ind w:firstLine="420" w:firstLineChars="200"/>
    </w:pPr>
  </w:style>
  <w:style w:type="table" w:customStyle="1" w:styleId="38">
    <w:name w:val="Table Normal"/>
    <w:autoRedefine/>
    <w:semiHidden/>
    <w:unhideWhenUsed/>
    <w:qFormat/>
    <w:uiPriority w:val="0"/>
    <w:tblPr>
      <w:tblCellMar>
        <w:top w:w="0" w:type="dxa"/>
        <w:left w:w="0" w:type="dxa"/>
        <w:bottom w:w="0" w:type="dxa"/>
        <w:right w:w="0" w:type="dxa"/>
      </w:tblCellMar>
    </w:tblPr>
  </w:style>
  <w:style w:type="paragraph" w:customStyle="1" w:styleId="39">
    <w:name w:val="Table Text"/>
    <w:basedOn w:val="1"/>
    <w:autoRedefine/>
    <w:semiHidden/>
    <w:qFormat/>
    <w:uiPriority w:val="0"/>
  </w:style>
  <w:style w:type="paragraph" w:customStyle="1" w:styleId="40">
    <w:name w:val="Heading #2|1"/>
    <w:basedOn w:val="1"/>
    <w:autoRedefine/>
    <w:qFormat/>
    <w:uiPriority w:val="0"/>
    <w:pPr>
      <w:widowControl w:val="0"/>
      <w:spacing w:after="580" w:line="634" w:lineRule="exact"/>
      <w:jc w:val="center"/>
      <w:outlineLvl w:val="1"/>
    </w:pPr>
    <w:rPr>
      <w:rFonts w:ascii="宋体" w:hAnsi="宋体"/>
      <w:sz w:val="44"/>
      <w:szCs w:val="44"/>
      <w:lang w:val="zh-TW" w:eastAsia="zh-TW" w:bidi="zh-TW"/>
    </w:rPr>
  </w:style>
  <w:style w:type="paragraph" w:customStyle="1" w:styleId="41">
    <w:name w:val="Body text|1"/>
    <w:basedOn w:val="1"/>
    <w:qFormat/>
    <w:uiPriority w:val="0"/>
    <w:pPr>
      <w:widowControl w:val="0"/>
      <w:spacing w:line="432" w:lineRule="auto"/>
      <w:ind w:firstLine="400"/>
    </w:pPr>
    <w:rPr>
      <w:rFonts w:ascii="宋体" w:hAnsi="宋体"/>
      <w:sz w:val="30"/>
      <w:szCs w:val="30"/>
      <w:lang w:val="zh-TW" w:eastAsia="zh-TW" w:bidi="zh-TW"/>
    </w:rPr>
  </w:style>
  <w:style w:type="paragraph" w:customStyle="1" w:styleId="42">
    <w:name w:val="Body text|2"/>
    <w:basedOn w:val="1"/>
    <w:autoRedefine/>
    <w:qFormat/>
    <w:uiPriority w:val="0"/>
    <w:pPr>
      <w:widowControl w:val="0"/>
    </w:pPr>
    <w:rPr>
      <w:rFonts w:ascii="宋体" w:hAnsi="宋体"/>
      <w:sz w:val="26"/>
      <w:szCs w:val="26"/>
      <w:lang w:val="zh-TW" w:eastAsia="zh-TW" w:bidi="zh-TW"/>
    </w:rPr>
  </w:style>
  <w:style w:type="paragraph" w:customStyle="1" w:styleId="43">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样式1"/>
    <w:basedOn w:val="2"/>
    <w:autoRedefine/>
    <w:qFormat/>
    <w:uiPriority w:val="0"/>
    <w:pPr>
      <w:spacing w:before="240" w:after="240" w:line="440" w:lineRule="exact"/>
    </w:pPr>
    <w:rPr>
      <w:rFonts w:eastAsia="楷体"/>
      <w:sz w:val="36"/>
      <w:szCs w:val="28"/>
    </w:rPr>
  </w:style>
  <w:style w:type="character" w:customStyle="1" w:styleId="45">
    <w:name w:val="font31"/>
    <w:autoRedefine/>
    <w:qFormat/>
    <w:uiPriority w:val="0"/>
    <w:rPr>
      <w:rFonts w:hint="eastAsia" w:ascii="宋体" w:hAnsi="宋体" w:eastAsia="宋体" w:cs="宋体"/>
      <w:color w:val="000000"/>
      <w:sz w:val="21"/>
      <w:szCs w:val="21"/>
      <w:u w:val="none"/>
    </w:rPr>
  </w:style>
  <w:style w:type="paragraph" w:styleId="46">
    <w:name w:val="List Paragraph"/>
    <w:basedOn w:val="1"/>
    <w:autoRedefine/>
    <w:qFormat/>
    <w:uiPriority w:val="34"/>
    <w:pPr>
      <w:ind w:firstLine="420" w:firstLineChars="200"/>
    </w:pPr>
    <w:rPr>
      <w:rFonts w:ascii="Times New Roman" w:hAnsi="Times New Roman" w:cs="Times New Roman"/>
    </w:rPr>
  </w:style>
  <w:style w:type="paragraph" w:customStyle="1" w:styleId="47">
    <w:name w:val="缺省文本"/>
    <w:basedOn w:val="1"/>
    <w:autoRedefine/>
    <w:qFormat/>
    <w:uiPriority w:val="0"/>
    <w:pPr>
      <w:spacing w:before="20" w:after="20" w:line="400" w:lineRule="exact"/>
      <w:ind w:firstLine="504"/>
    </w:pPr>
    <w:rPr>
      <w:rFonts w:ascii="Times New Roman" w:hAnsi="Times New Roman" w:cs="Times New Roman"/>
      <w:szCs w:val="20"/>
    </w:rPr>
  </w:style>
  <w:style w:type="paragraph" w:customStyle="1" w:styleId="48">
    <w:name w:val="WPSOffice手动目录 1"/>
    <w:autoRedefine/>
    <w:qFormat/>
    <w:uiPriority w:val="0"/>
    <w:rPr>
      <w:rFonts w:ascii="Times New Roman" w:hAnsi="Times New Roman" w:eastAsia="宋体" w:cs="Times New Roman"/>
      <w:lang w:val="en-US" w:eastAsia="zh-CN" w:bidi="ar-SA"/>
    </w:rPr>
  </w:style>
  <w:style w:type="paragraph" w:customStyle="1" w:styleId="4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0">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51">
    <w:name w:val="批注框文本 Char"/>
    <w:basedOn w:val="27"/>
    <w:link w:val="14"/>
    <w:autoRedefine/>
    <w:qFormat/>
    <w:uiPriority w:val="0"/>
    <w:rPr>
      <w:rFonts w:ascii="Arial" w:hAnsi="Arial" w:cs="宋体"/>
      <w:snapToGrid w:val="0"/>
      <w:spacing w:val="-1"/>
      <w:sz w:val="18"/>
      <w:szCs w:val="18"/>
      <w:lang w:eastAsia="en-US"/>
    </w:rPr>
  </w:style>
  <w:style w:type="character" w:customStyle="1" w:styleId="52">
    <w:name w:val="文档结构图 Char"/>
    <w:basedOn w:val="27"/>
    <w:link w:val="8"/>
    <w:autoRedefine/>
    <w:qFormat/>
    <w:uiPriority w:val="0"/>
    <w:rPr>
      <w:rFonts w:ascii="宋体" w:hAnsi="Arial" w:cs="宋体"/>
      <w:snapToGrid w:val="0"/>
      <w:spacing w:val="-1"/>
      <w:sz w:val="18"/>
      <w:szCs w:val="18"/>
      <w:lang w:eastAsia="en-US"/>
    </w:rPr>
  </w:style>
  <w:style w:type="paragraph" w:customStyle="1" w:styleId="53">
    <w:name w:val="正文缩进1"/>
    <w:basedOn w:val="1"/>
    <w:autoRedefine/>
    <w:qFormat/>
    <w:uiPriority w:val="0"/>
    <w:pPr>
      <w:ind w:firstLine="420" w:firstLineChars="200"/>
    </w:pPr>
  </w:style>
  <w:style w:type="character" w:customStyle="1" w:styleId="54">
    <w:name w:val="zisiblack2"/>
    <w:autoRedefine/>
    <w:qFormat/>
    <w:uiPriority w:val="99"/>
    <w:rPr>
      <w:rFonts w:cs="Times New Roman"/>
    </w:rPr>
  </w:style>
  <w:style w:type="character" w:customStyle="1" w:styleId="55">
    <w:name w:val="16"/>
    <w:basedOn w:val="27"/>
    <w:qFormat/>
    <w:uiPriority w:val="0"/>
    <w:rPr>
      <w:rFonts w:hint="default" w:ascii="Times New Roman" w:hAnsi="Times New Roman" w:cs="Times New Roman"/>
    </w:rPr>
  </w:style>
  <w:style w:type="character" w:customStyle="1" w:styleId="56">
    <w:name w:val="15"/>
    <w:basedOn w:val="27"/>
    <w:autoRedefine/>
    <w:qFormat/>
    <w:uiPriority w:val="0"/>
    <w:rPr>
      <w:rFonts w:hint="default" w:ascii="Times New Roman" w:hAnsi="Times New Roman" w:cs="Times New Roman"/>
    </w:rPr>
  </w:style>
  <w:style w:type="character" w:customStyle="1" w:styleId="57">
    <w:name w:val="10"/>
    <w:basedOn w:val="27"/>
    <w:autoRedefine/>
    <w:qFormat/>
    <w:uiPriority w:val="0"/>
    <w:rPr>
      <w:rFonts w:hint="default" w:ascii="Times New Roman" w:hAnsi="Times New Roman" w:cs="Times New Roman"/>
    </w:rPr>
  </w:style>
  <w:style w:type="character" w:customStyle="1" w:styleId="58">
    <w:name w:val="fontstyle01"/>
    <w:autoRedefine/>
    <w:qFormat/>
    <w:uiPriority w:val="0"/>
    <w:rPr>
      <w:rFonts w:hint="eastAsia" w:ascii="宋体" w:hAnsi="宋体" w:eastAsia="宋体"/>
      <w:color w:val="000000"/>
      <w:sz w:val="24"/>
      <w:szCs w:val="24"/>
    </w:rPr>
  </w:style>
  <w:style w:type="paragraph" w:customStyle="1" w:styleId="59">
    <w:name w:val="Blockquote"/>
    <w:basedOn w:val="1"/>
    <w:autoRedefine/>
    <w:qFormat/>
    <w:uiPriority w:val="0"/>
    <w:pPr>
      <w:autoSpaceDE w:val="0"/>
      <w:autoSpaceDN w:val="0"/>
      <w:adjustRightInd w:val="0"/>
      <w:spacing w:before="100" w:beforeLines="0" w:after="100" w:afterLines="0"/>
      <w:ind w:left="360" w:right="360"/>
      <w:jc w:val="left"/>
    </w:pPr>
    <w:rPr>
      <w:kern w:val="0"/>
      <w:sz w:val="24"/>
    </w:rPr>
  </w:style>
  <w:style w:type="paragraph" w:customStyle="1" w:styleId="60">
    <w:name w:val="首行缩进"/>
    <w:basedOn w:val="1"/>
    <w:autoRedefine/>
    <w:qFormat/>
    <w:uiPriority w:val="0"/>
    <w:pPr>
      <w:spacing w:line="300" w:lineRule="auto"/>
      <w:ind w:firstLine="420" w:firstLineChars="200"/>
    </w:pPr>
    <w:rPr>
      <w:rFonts w:eastAsia="方正书宋简体"/>
      <w:kern w:val="0"/>
      <w:sz w:val="20"/>
    </w:rPr>
  </w:style>
  <w:style w:type="paragraph" w:customStyle="1" w:styleId="61">
    <w:name w:val="一级条标题"/>
    <w:basedOn w:val="62"/>
    <w:next w:val="63"/>
    <w:autoRedefine/>
    <w:qFormat/>
    <w:uiPriority w:val="0"/>
    <w:pPr>
      <w:outlineLvl w:val="2"/>
    </w:pPr>
    <w:rPr>
      <w:sz w:val="20"/>
    </w:rPr>
  </w:style>
  <w:style w:type="paragraph" w:customStyle="1" w:styleId="62">
    <w:name w:val="章标题"/>
    <w:next w:val="63"/>
    <w:autoRedefine/>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63">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64">
    <w:name w:val="Table Paragraph"/>
    <w:basedOn w:val="1"/>
    <w:qFormat/>
    <w:uiPriority w:val="1"/>
    <w:pPr>
      <w:jc w:val="left"/>
    </w:pPr>
    <w:rPr>
      <w:kern w:val="0"/>
      <w:sz w:val="22"/>
      <w:szCs w:val="22"/>
      <w:lang w:eastAsia="en-US"/>
    </w:rPr>
  </w:style>
  <w:style w:type="paragraph" w:customStyle="1" w:styleId="65">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3302</Words>
  <Characters>3745</Characters>
  <Lines>1</Lines>
  <Paragraphs>1</Paragraphs>
  <TotalTime>1</TotalTime>
  <ScaleCrop>false</ScaleCrop>
  <LinksUpToDate>false</LinksUpToDate>
  <CharactersWithSpaces>4676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仰望</dc:creator>
  <cp:lastModifiedBy>娇娇</cp:lastModifiedBy>
  <cp:lastPrinted>2025-03-06T01:18:00Z</cp:lastPrinted>
  <dcterms:modified xsi:type="dcterms:W3CDTF">2025-10-02T03:10:15Z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2052-12.1.0.16729</vt:lpwstr>
  </property>
  <property fmtid="{D5CDD505-2E9C-101B-9397-08002B2CF9AE}" pid="5" name="ICV">
    <vt:lpwstr>EAE3F31831214DB6AF62B45F59C318D5_13</vt:lpwstr>
  </property>
  <property fmtid="{D5CDD505-2E9C-101B-9397-08002B2CF9AE}" pid="6" name="KSOTemplateDocerSaveRecord">
    <vt:lpwstr>eyJoZGlkIjoiYWRmMGFmNjNhNTVjYWYwZWEyYTM1MmZmMDU5MWNlZGYiLCJ1c2VySWQiOiI1Mjc2MDU0NTkifQ==</vt:lpwstr>
  </property>
</Properties>
</file>