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B5A32DF">
      <w:pPr>
        <w:jc w:val="center"/>
        <w:rPr>
          <w:rFonts w:ascii="微软雅黑" w:hAnsi="微软雅黑" w:eastAsia="微软雅黑" w:cs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注射用透明质酸钠（水光）/注射用透明质酸钠复合溶液</w:t>
      </w:r>
    </w:p>
    <w:p w14:paraId="1482817A">
      <w:pPr>
        <w:rPr>
          <w:rFonts w:ascii="仿宋" w:hAnsi="仿宋" w:eastAsia="仿宋"/>
          <w:sz w:val="28"/>
          <w:szCs w:val="28"/>
          <w:lang w:eastAsia="zh-CN"/>
        </w:rPr>
      </w:pPr>
    </w:p>
    <w:p w14:paraId="2D717DCA">
      <w:pPr>
        <w:rPr>
          <w:rFonts w:asciiTheme="minorEastAsia" w:hAnsiTheme="minorEastAsia" w:eastAsiaTheme="minorEastAsia"/>
          <w:sz w:val="22"/>
          <w:szCs w:val="22"/>
          <w:lang w:eastAsia="zh-CN"/>
        </w:rPr>
      </w:pPr>
      <w:r>
        <w:rPr>
          <w:rFonts w:hint="eastAsia" w:asciiTheme="minorEastAsia" w:hAnsiTheme="minorEastAsia" w:eastAsiaTheme="minorEastAsia"/>
          <w:sz w:val="22"/>
          <w:szCs w:val="22"/>
          <w:lang w:eastAsia="zh-CN"/>
        </w:rPr>
        <w:t>一、技术要求</w:t>
      </w:r>
    </w:p>
    <w:p w14:paraId="4751C7BF">
      <w:pPr>
        <w:pStyle w:val="16"/>
        <w:numPr>
          <w:ilvl w:val="0"/>
          <w:numId w:val="1"/>
        </w:numPr>
        <w:ind w:firstLineChars="0"/>
        <w:rPr>
          <w:rFonts w:asciiTheme="minorEastAsia" w:hAnsiTheme="minorEastAsia" w:eastAsiaTheme="minorEastAsia"/>
          <w:color w:val="000000"/>
          <w:spacing w:val="2"/>
          <w:sz w:val="22"/>
          <w:szCs w:val="22"/>
          <w:lang w:eastAsia="zh-CN"/>
        </w:rPr>
      </w:pPr>
      <w:r>
        <w:rPr>
          <w:rFonts w:hint="eastAsia" w:asciiTheme="minorEastAsia" w:hAnsiTheme="minorEastAsia" w:eastAsiaTheme="minorEastAsia"/>
          <w:color w:val="000000"/>
          <w:spacing w:val="2"/>
          <w:sz w:val="22"/>
          <w:szCs w:val="22"/>
          <w:lang w:eastAsia="zh-CN"/>
        </w:rPr>
        <w:t>产品性能：医用透明质酸钠为主要成分，封装于一次性使用预灌封注射器中，注射器内的产品已经过滤除菌。</w:t>
      </w:r>
    </w:p>
    <w:p w14:paraId="526A4927">
      <w:pPr>
        <w:pStyle w:val="16"/>
        <w:numPr>
          <w:ilvl w:val="0"/>
          <w:numId w:val="1"/>
        </w:numPr>
        <w:ind w:firstLineChars="0"/>
        <w:rPr>
          <w:rFonts w:asciiTheme="minorEastAsia" w:hAnsiTheme="minorEastAsia" w:eastAsiaTheme="minorEastAsia"/>
          <w:color w:val="000000"/>
          <w:spacing w:val="2"/>
          <w:sz w:val="22"/>
          <w:szCs w:val="22"/>
          <w:lang w:eastAsia="zh-CN"/>
        </w:rPr>
      </w:pPr>
      <w:r>
        <w:rPr>
          <w:rFonts w:hint="eastAsia" w:asciiTheme="minorEastAsia" w:hAnsiTheme="minorEastAsia" w:eastAsiaTheme="minorEastAsia"/>
          <w:color w:val="000000"/>
          <w:spacing w:val="2"/>
          <w:sz w:val="22"/>
          <w:szCs w:val="22"/>
          <w:lang w:eastAsia="zh-CN"/>
        </w:rPr>
        <w:t>适用范围：用于面</w:t>
      </w:r>
      <w:r>
        <w:rPr>
          <w:rFonts w:asciiTheme="minorEastAsia" w:hAnsiTheme="minorEastAsia" w:eastAsiaTheme="minorEastAsia"/>
          <w:color w:val="000000"/>
          <w:spacing w:val="2"/>
          <w:sz w:val="22"/>
          <w:szCs w:val="22"/>
          <w:lang w:eastAsia="zh-CN"/>
        </w:rPr>
        <w:t>颈</w:t>
      </w:r>
      <w:r>
        <w:rPr>
          <w:rFonts w:hint="eastAsia" w:asciiTheme="minorEastAsia" w:hAnsiTheme="minorEastAsia" w:eastAsiaTheme="minorEastAsia"/>
          <w:color w:val="000000"/>
          <w:spacing w:val="2"/>
          <w:sz w:val="22"/>
          <w:szCs w:val="22"/>
          <w:lang w:eastAsia="zh-CN"/>
        </w:rPr>
        <w:t>部注射填充。</w:t>
      </w:r>
    </w:p>
    <w:p w14:paraId="770C6071">
      <w:pPr>
        <w:pStyle w:val="16"/>
        <w:numPr>
          <w:ilvl w:val="0"/>
          <w:numId w:val="1"/>
        </w:numPr>
        <w:ind w:firstLineChars="0"/>
        <w:rPr>
          <w:rFonts w:asciiTheme="minorEastAsia" w:hAnsiTheme="minorEastAsia" w:eastAsiaTheme="minorEastAsia"/>
          <w:color w:val="000000" w:themeColor="text1"/>
          <w:spacing w:val="2"/>
          <w:sz w:val="22"/>
          <w:szCs w:val="2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/>
          <w:spacing w:val="2"/>
          <w:sz w:val="22"/>
          <w:szCs w:val="22"/>
          <w:lang w:eastAsia="zh-CN"/>
        </w:rPr>
        <w:t>规格型号</w:t>
      </w:r>
      <w:r>
        <w:rPr>
          <w:rFonts w:hint="eastAsia" w:asciiTheme="minorEastAsia" w:hAnsiTheme="minorEastAsia" w:eastAsiaTheme="minorEastAsia"/>
          <w:color w:val="000000"/>
          <w:spacing w:val="2"/>
          <w:sz w:val="22"/>
          <w:szCs w:val="22"/>
          <w:lang w:eastAsia="zh-CN"/>
        </w:rPr>
        <w:tab/>
      </w:r>
      <w:r>
        <w:rPr>
          <w:rFonts w:hint="eastAsia" w:asciiTheme="minorEastAsia" w:hAnsiTheme="minorEastAsia" w:eastAsiaTheme="minorEastAsia"/>
          <w:color w:val="000000"/>
          <w:spacing w:val="2"/>
          <w:sz w:val="22"/>
          <w:szCs w:val="22"/>
          <w:lang w:val="en-US" w:eastAsia="zh-CN"/>
        </w:rPr>
        <w:t xml:space="preserve">3.0ml/支  </w:t>
      </w:r>
      <w:r>
        <w:rPr>
          <w:rFonts w:hint="eastAsia" w:asciiTheme="minorEastAsia" w:hAnsiTheme="minorEastAsia" w:eastAsiaTheme="minorEastAsia"/>
          <w:color w:val="000000"/>
          <w:spacing w:val="2"/>
          <w:sz w:val="22"/>
          <w:szCs w:val="22"/>
          <w:lang w:eastAsia="zh-CN"/>
        </w:rPr>
        <w:t>2.5ml/支、2ml/支、1.5ml/支、1.0ml/支。</w:t>
      </w:r>
    </w:p>
    <w:p w14:paraId="01967782">
      <w:pPr>
        <w:pStyle w:val="16"/>
        <w:numPr>
          <w:ilvl w:val="0"/>
          <w:numId w:val="1"/>
        </w:numPr>
        <w:ind w:firstLineChars="0"/>
        <w:rPr>
          <w:rFonts w:asciiTheme="minorEastAsia" w:hAnsiTheme="minorEastAsia" w:eastAsiaTheme="minorEastAsia"/>
          <w:color w:val="000000" w:themeColor="text1"/>
          <w:spacing w:val="2"/>
          <w:sz w:val="22"/>
          <w:szCs w:val="2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pacing w:val="2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组成成分：透明质酸钠与其他成分。</w:t>
      </w:r>
    </w:p>
    <w:p w14:paraId="30FACC19">
      <w:pPr>
        <w:pStyle w:val="16"/>
        <w:numPr>
          <w:ilvl w:val="0"/>
          <w:numId w:val="1"/>
        </w:numPr>
        <w:ind w:firstLineChars="0"/>
        <w:rPr>
          <w:rFonts w:asciiTheme="minorEastAsia" w:hAnsiTheme="minorEastAsia" w:eastAsiaTheme="minorEastAsia"/>
          <w:color w:val="000000"/>
          <w:spacing w:val="2"/>
          <w:sz w:val="22"/>
          <w:szCs w:val="22"/>
          <w:lang w:eastAsia="zh-CN"/>
        </w:rPr>
      </w:pPr>
      <w:r>
        <w:rPr>
          <w:rFonts w:hint="eastAsia" w:asciiTheme="minorEastAsia" w:hAnsiTheme="minorEastAsia" w:eastAsiaTheme="minorEastAsia"/>
          <w:color w:val="000000"/>
          <w:spacing w:val="2"/>
          <w:sz w:val="22"/>
          <w:szCs w:val="22"/>
          <w:lang w:eastAsia="zh-CN"/>
        </w:rPr>
        <w:t>制造工艺：生物发酵法制备。</w:t>
      </w:r>
    </w:p>
    <w:p w14:paraId="23B4FB60">
      <w:pPr>
        <w:rPr>
          <w:rFonts w:asciiTheme="minorEastAsia" w:hAnsiTheme="minorEastAsia" w:eastAsiaTheme="minorEastAsia"/>
          <w:b/>
          <w:bCs/>
          <w:color w:val="000000"/>
          <w:spacing w:val="2"/>
          <w:sz w:val="22"/>
          <w:szCs w:val="22"/>
          <w:lang w:eastAsia="zh-CN"/>
        </w:rPr>
      </w:pPr>
      <w:r>
        <w:rPr>
          <w:rFonts w:hint="eastAsia" w:asciiTheme="minorEastAsia" w:hAnsiTheme="minorEastAsia" w:eastAsiaTheme="minorEastAsia"/>
          <w:b/>
          <w:bCs/>
          <w:color w:val="000000"/>
          <w:spacing w:val="2"/>
          <w:sz w:val="22"/>
          <w:szCs w:val="22"/>
          <w:lang w:eastAsia="zh-CN"/>
        </w:rPr>
        <w:t>注：以上“技术要求”为实质性条款须完全响应，否则投标无效。</w:t>
      </w:r>
      <w:bookmarkStart w:id="0" w:name="_Toc1050"/>
      <w:bookmarkStart w:id="1" w:name="_Toc26511"/>
      <w:bookmarkStart w:id="2" w:name="_Toc4621"/>
      <w:bookmarkStart w:id="3" w:name="_Toc3907"/>
      <w:bookmarkStart w:id="4" w:name="_Toc11777"/>
    </w:p>
    <w:p w14:paraId="7B5F7934">
      <w:pPr>
        <w:rPr>
          <w:rFonts w:asciiTheme="minorEastAsia" w:hAnsiTheme="minorEastAsia" w:eastAsiaTheme="minorEastAsia"/>
          <w:b/>
          <w:bCs/>
          <w:color w:val="000000"/>
          <w:spacing w:val="2"/>
          <w:sz w:val="22"/>
          <w:szCs w:val="22"/>
          <w:lang w:eastAsia="zh-CN"/>
        </w:rPr>
      </w:pPr>
    </w:p>
    <w:bookmarkEnd w:id="0"/>
    <w:bookmarkEnd w:id="1"/>
    <w:bookmarkEnd w:id="2"/>
    <w:bookmarkEnd w:id="3"/>
    <w:bookmarkEnd w:id="4"/>
    <w:p w14:paraId="36A30AC4">
      <w:pPr>
        <w:rPr>
          <w:rFonts w:asciiTheme="minorEastAsia" w:hAnsiTheme="minorEastAsia" w:eastAsiaTheme="minorEastAsia"/>
          <w:sz w:val="22"/>
          <w:szCs w:val="22"/>
          <w:lang w:eastAsia="zh-CN"/>
        </w:rPr>
      </w:pPr>
      <w:bookmarkStart w:id="5" w:name="_Toc29344"/>
      <w:bookmarkStart w:id="6" w:name="_Toc22834"/>
      <w:bookmarkStart w:id="7" w:name="_Toc20723"/>
      <w:bookmarkStart w:id="8" w:name="_Toc16809"/>
      <w:r>
        <w:rPr>
          <w:rFonts w:hint="eastAsia" w:asciiTheme="minorEastAsia" w:hAnsiTheme="minorEastAsia" w:eastAsiaTheme="minorEastAsia"/>
          <w:sz w:val="22"/>
          <w:szCs w:val="22"/>
          <w:lang w:eastAsia="zh-CN"/>
        </w:rPr>
        <w:t>二、</w:t>
      </w:r>
      <w:bookmarkEnd w:id="5"/>
      <w:bookmarkEnd w:id="6"/>
      <w:r>
        <w:rPr>
          <w:rFonts w:hint="eastAsia" w:asciiTheme="minorEastAsia" w:hAnsiTheme="minorEastAsia" w:eastAsiaTheme="minorEastAsia"/>
          <w:sz w:val="22"/>
          <w:szCs w:val="22"/>
          <w:lang w:eastAsia="zh-CN"/>
        </w:rPr>
        <w:t>评标标准</w:t>
      </w:r>
      <w:bookmarkEnd w:id="7"/>
      <w:bookmarkEnd w:id="8"/>
    </w:p>
    <w:p w14:paraId="26309C5F">
      <w:pPr>
        <w:ind w:firstLine="436" w:firstLineChars="200"/>
        <w:rPr>
          <w:rFonts w:asciiTheme="minorEastAsia" w:hAnsiTheme="minorEastAsia" w:eastAsiaTheme="minorEastAsia"/>
          <w:sz w:val="22"/>
          <w:szCs w:val="22"/>
          <w:lang w:eastAsia="zh-CN"/>
        </w:rPr>
      </w:pPr>
      <w:r>
        <w:rPr>
          <w:rFonts w:hint="eastAsia" w:asciiTheme="minorEastAsia" w:hAnsiTheme="minorEastAsia" w:eastAsiaTheme="minorEastAsia"/>
          <w:sz w:val="22"/>
          <w:szCs w:val="22"/>
          <w:lang w:eastAsia="zh-CN"/>
        </w:rPr>
        <w:t>本项目采用综合评分法（由价格、技术、商务三部分组成，总分</w:t>
      </w:r>
      <w:r>
        <w:rPr>
          <w:rFonts w:hint="eastAsia" w:asciiTheme="minorEastAsia" w:hAnsiTheme="minorEastAsia" w:eastAsiaTheme="minorEastAsia"/>
          <w:sz w:val="22"/>
          <w:szCs w:val="22"/>
          <w:u w:val="single"/>
          <w:lang w:eastAsia="zh-CN"/>
        </w:rPr>
        <w:t>10</w:t>
      </w:r>
      <w:r>
        <w:rPr>
          <w:rFonts w:hint="eastAsia" w:asciiTheme="minorEastAsia" w:hAnsiTheme="minorEastAsia" w:eastAsiaTheme="minorEastAsia"/>
          <w:sz w:val="22"/>
          <w:szCs w:val="22"/>
          <w:lang w:eastAsia="zh-CN"/>
        </w:rPr>
        <w:t>分），由</w:t>
      </w:r>
      <w:bookmarkStart w:id="9" w:name="_Hlk99230513"/>
      <w:r>
        <w:rPr>
          <w:rFonts w:hint="eastAsia" w:asciiTheme="minorEastAsia" w:hAnsiTheme="minorEastAsia" w:eastAsiaTheme="minorEastAsia"/>
          <w:sz w:val="22"/>
          <w:szCs w:val="22"/>
          <w:lang w:eastAsia="zh-CN"/>
        </w:rPr>
        <w:t>评标</w:t>
      </w:r>
      <w:bookmarkEnd w:id="9"/>
      <w:r>
        <w:rPr>
          <w:rFonts w:hint="eastAsia" w:asciiTheme="minorEastAsia" w:hAnsiTheme="minorEastAsia" w:eastAsiaTheme="minorEastAsia"/>
          <w:sz w:val="22"/>
          <w:szCs w:val="22"/>
          <w:lang w:eastAsia="zh-CN"/>
        </w:rPr>
        <w:t>委员会按照以下评审内容，对资格性和符合性审查合格的投标文件进行价格、技术和商务综合比较与评价</w:t>
      </w:r>
      <w:r>
        <w:rPr>
          <w:rFonts w:hint="eastAsia" w:asciiTheme="minorEastAsia" w:hAnsiTheme="minorEastAsia" w:eastAsiaTheme="minorEastAsia"/>
          <w:b/>
          <w:bCs/>
          <w:sz w:val="22"/>
          <w:szCs w:val="22"/>
          <w:lang w:eastAsia="zh-CN"/>
        </w:rPr>
        <w:t xml:space="preserve">（所有技术参数须提供具有检测资质的检测机构出具的检测报告、注册证或原厂家彩页、说明书（须加盖厂家或省级以上代理公章）进行印证，无印证材料的则视为不响应） </w:t>
      </w:r>
    </w:p>
    <w:p w14:paraId="03235920">
      <w:pPr>
        <w:spacing w:line="460" w:lineRule="exact"/>
        <w:ind w:firstLine="436" w:firstLineChars="200"/>
        <w:textAlignment w:val="center"/>
        <w:rPr>
          <w:rFonts w:asciiTheme="minorEastAsia" w:hAnsiTheme="minorEastAsia" w:eastAsiaTheme="minorEastAsia"/>
          <w:sz w:val="22"/>
          <w:szCs w:val="22"/>
          <w:lang w:eastAsia="zh-CN"/>
        </w:rPr>
      </w:pP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7364"/>
        <w:gridCol w:w="961"/>
      </w:tblGrid>
      <w:tr w14:paraId="369E2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5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19959">
            <w:pPr>
              <w:spacing w:line="460" w:lineRule="exact"/>
              <w:jc w:val="center"/>
              <w:rPr>
                <w:rFonts w:asciiTheme="minorEastAsia" w:hAnsiTheme="minorEastAsia" w:eastAsiaTheme="minorEastAsia"/>
                <w:b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2"/>
                <w:szCs w:val="22"/>
                <w:lang w:eastAsia="zh-CN"/>
              </w:rPr>
              <w:t>（一）价格部分（3分）</w:t>
            </w:r>
          </w:p>
        </w:tc>
      </w:tr>
      <w:tr w14:paraId="5978B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3A048">
            <w:pPr>
              <w:spacing w:line="460" w:lineRule="exact"/>
              <w:jc w:val="center"/>
              <w:rPr>
                <w:rFonts w:asciiTheme="minorEastAsia" w:hAnsiTheme="minorEastAsia" w:eastAsiaTheme="minorEastAsia"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b/>
                <w:sz w:val="22"/>
                <w:szCs w:val="22"/>
              </w:rPr>
              <w:t>评分点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B3369">
            <w:pPr>
              <w:spacing w:line="460" w:lineRule="exact"/>
              <w:ind w:firstLine="328" w:firstLineChars="150"/>
              <w:jc w:val="center"/>
              <w:rPr>
                <w:rFonts w:asciiTheme="minorEastAsia" w:hAnsiTheme="minorEastAsia" w:eastAsiaTheme="minorEastAsia"/>
                <w:b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b/>
                <w:sz w:val="22"/>
                <w:szCs w:val="22"/>
              </w:rPr>
              <w:t>评审内容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2D8BA">
            <w:pPr>
              <w:spacing w:line="460" w:lineRule="exact"/>
              <w:jc w:val="center"/>
              <w:rPr>
                <w:rFonts w:asciiTheme="minorEastAsia" w:hAnsiTheme="minorEastAsia" w:eastAsiaTheme="minorEastAsia"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b/>
                <w:sz w:val="22"/>
                <w:szCs w:val="22"/>
              </w:rPr>
              <w:t>分值</w:t>
            </w:r>
          </w:p>
        </w:tc>
      </w:tr>
      <w:tr w14:paraId="6CBFF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0309F">
            <w:pPr>
              <w:spacing w:line="460" w:lineRule="exact"/>
              <w:jc w:val="center"/>
              <w:rPr>
                <w:rFonts w:asciiTheme="minorEastAsia" w:hAnsiTheme="minorEastAsia" w:eastAsiaTheme="minorEastAsia"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bCs/>
                <w:sz w:val="22"/>
                <w:szCs w:val="22"/>
              </w:rPr>
              <w:t>报价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685B7">
            <w:pPr>
              <w:ind w:firstLine="436" w:firstLineChars="200"/>
              <w:rPr>
                <w:rFonts w:asciiTheme="minorEastAsia" w:hAnsiTheme="minorEastAsia" w:eastAsiaTheme="minorEastAsia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  <w:lang w:eastAsia="zh-CN"/>
              </w:rPr>
              <w:t>价格分采用低价优先法计算，即满足要求且最终报价最低的报价为基准价，其价格分为满分。其他响应供应商的价格分统一按下列公式计算：报价得分=（基准价/最终报价）×30%×100；计算结果保留至小数点后两位。若供应商投标价格超出采购预算，视为响应无效。（按每毫升价格计算）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2D4F5">
            <w:pPr>
              <w:spacing w:line="460" w:lineRule="exact"/>
              <w:jc w:val="center"/>
              <w:rPr>
                <w:rFonts w:asciiTheme="minorEastAsia" w:hAnsiTheme="minorEastAsia" w:eastAsiaTheme="minorEastAsia"/>
                <w:bCs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bCs/>
                <w:sz w:val="22"/>
                <w:szCs w:val="22"/>
                <w:lang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bCs/>
                <w:sz w:val="22"/>
                <w:szCs w:val="22"/>
              </w:rPr>
              <w:t>分</w:t>
            </w:r>
          </w:p>
        </w:tc>
      </w:tr>
      <w:tr w14:paraId="65DCB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5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F4996">
            <w:pPr>
              <w:spacing w:line="460" w:lineRule="exact"/>
              <w:jc w:val="center"/>
              <w:rPr>
                <w:rFonts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（二）技术部分（  4 分）</w:t>
            </w:r>
          </w:p>
        </w:tc>
      </w:tr>
      <w:tr w14:paraId="2FBC2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EA433">
            <w:pPr>
              <w:spacing w:line="460" w:lineRule="exact"/>
              <w:jc w:val="center"/>
              <w:rPr>
                <w:rFonts w:ascii="仿宋" w:hAnsi="仿宋" w:eastAsia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sz w:val="22"/>
                <w:szCs w:val="22"/>
              </w:rPr>
              <w:t>评分点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173CA">
            <w:pPr>
              <w:spacing w:line="460" w:lineRule="exact"/>
              <w:ind w:firstLine="328" w:firstLineChars="150"/>
              <w:jc w:val="center"/>
              <w:rPr>
                <w:rFonts w:ascii="仿宋" w:hAnsi="仿宋" w:eastAsia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sz w:val="22"/>
                <w:szCs w:val="22"/>
              </w:rPr>
              <w:t>评审内容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F3B6D">
            <w:pPr>
              <w:spacing w:line="460" w:lineRule="exact"/>
              <w:jc w:val="center"/>
              <w:rPr>
                <w:rFonts w:ascii="仿宋" w:hAnsi="仿宋" w:eastAsia="仿宋"/>
                <w:b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sz w:val="22"/>
                <w:szCs w:val="22"/>
              </w:rPr>
              <w:t>分值</w:t>
            </w:r>
          </w:p>
        </w:tc>
      </w:tr>
      <w:tr w14:paraId="257FB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CFFBB">
            <w:pPr>
              <w:pStyle w:val="4"/>
              <w:spacing w:line="460" w:lineRule="exact"/>
              <w:jc w:val="center"/>
              <w:rPr>
                <w:rFonts w:ascii="仿宋" w:hAnsi="仿宋" w:eastAsia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  <w:lang w:eastAsia="zh-CN"/>
              </w:rPr>
              <w:t>技术要求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FD0E2">
            <w:pPr>
              <w:tabs>
                <w:tab w:val="left" w:pos="327"/>
                <w:tab w:val="left" w:pos="720"/>
              </w:tabs>
              <w:spacing w:line="460" w:lineRule="exact"/>
              <w:rPr>
                <w:rFonts w:ascii="仿宋" w:hAnsi="仿宋" w:eastAsia="仿宋"/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  <w:lang w:eastAsia="zh-CN"/>
              </w:rPr>
              <w:t>投标人必须完全满足招标文件采购需求“技术要求”实质性条款，任意一项不满足作无效投标处理。</w:t>
            </w:r>
          </w:p>
          <w:p w14:paraId="3983FBD3">
            <w:pPr>
              <w:spacing w:line="460" w:lineRule="exact"/>
              <w:rPr>
                <w:rFonts w:ascii="仿宋" w:hAnsi="仿宋" w:eastAsia="仿宋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2"/>
                <w:szCs w:val="22"/>
                <w:lang w:eastAsia="zh-CN"/>
              </w:rPr>
              <w:t>评审依据：技术要求响应/偏离表。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FA13A">
            <w:pPr>
              <w:spacing w:line="460" w:lineRule="exact"/>
              <w:jc w:val="center"/>
              <w:rPr>
                <w:rFonts w:ascii="仿宋" w:hAnsi="仿宋" w:eastAsia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bCs/>
                <w:sz w:val="22"/>
                <w:szCs w:val="22"/>
              </w:rPr>
              <w:t>/</w:t>
            </w:r>
          </w:p>
        </w:tc>
      </w:tr>
      <w:tr w14:paraId="7C794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E0647">
            <w:pPr>
              <w:spacing w:line="460" w:lineRule="exact"/>
              <w:jc w:val="center"/>
              <w:rPr>
                <w:rFonts w:ascii="仿宋" w:hAnsi="仿宋" w:eastAsia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  <w:lang w:eastAsia="zh-CN"/>
              </w:rPr>
              <w:t>技术参数加分项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C864A">
            <w:pPr>
              <w:pStyle w:val="12"/>
              <w:numPr>
                <w:ilvl w:val="0"/>
                <w:numId w:val="2"/>
              </w:numPr>
              <w:kinsoku/>
              <w:spacing w:after="0" w:line="440" w:lineRule="exact"/>
              <w:ind w:left="0" w:leftChars="0" w:firstLine="0" w:firstLineChars="0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主要成分透明质酸钠为非交联透明质酸钠（1分）</w:t>
            </w:r>
          </w:p>
          <w:p w14:paraId="25F3BBA0">
            <w:pPr>
              <w:pStyle w:val="12"/>
              <w:numPr>
                <w:ilvl w:val="0"/>
                <w:numId w:val="2"/>
              </w:numPr>
              <w:kinsoku/>
              <w:spacing w:after="0" w:line="440" w:lineRule="exact"/>
              <w:ind w:left="0" w:leftChars="0" w:firstLine="0" w:firstLineChars="0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bCs/>
                <w:sz w:val="22"/>
                <w:szCs w:val="22"/>
              </w:rPr>
              <w:t>其它成分含有氨基酸（1分）</w:t>
            </w:r>
          </w:p>
          <w:p w14:paraId="0A1693D5">
            <w:pPr>
              <w:pStyle w:val="12"/>
              <w:numPr>
                <w:ilvl w:val="0"/>
                <w:numId w:val="2"/>
              </w:numPr>
              <w:kinsoku/>
              <w:spacing w:after="0" w:line="440" w:lineRule="exact"/>
              <w:ind w:left="0" w:leftChars="0" w:firstLine="0" w:firstLineChars="0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bCs/>
                <w:sz w:val="22"/>
                <w:szCs w:val="22"/>
              </w:rPr>
              <w:t>透明质酸钠含量（2分）</w:t>
            </w:r>
          </w:p>
          <w:p w14:paraId="005CE685">
            <w:pPr>
              <w:rPr>
                <w:rFonts w:ascii="仿宋" w:hAnsi="仿宋" w:eastAsia="仿宋"/>
                <w:b/>
                <w:bCs/>
                <w:color w:val="121212"/>
                <w:spacing w:val="2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121212"/>
                <w:spacing w:val="2"/>
                <w:sz w:val="22"/>
                <w:szCs w:val="22"/>
                <w:lang w:val="en-US" w:eastAsia="zh-CN"/>
              </w:rPr>
              <w:t>1ml浓度</w:t>
            </w:r>
            <w:r>
              <w:rPr>
                <w:rFonts w:hint="eastAsia" w:ascii="仿宋" w:hAnsi="仿宋" w:eastAsia="仿宋"/>
                <w:b/>
                <w:bCs/>
                <w:color w:val="121212"/>
                <w:spacing w:val="2"/>
                <w:sz w:val="22"/>
                <w:szCs w:val="22"/>
                <w:lang w:eastAsia="zh-CN"/>
              </w:rPr>
              <w:t>≥10mg（1分）</w:t>
            </w:r>
          </w:p>
          <w:p w14:paraId="57A36982">
            <w:pPr>
              <w:rPr>
                <w:rStyle w:val="15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121212"/>
                <w:spacing w:val="2"/>
                <w:sz w:val="22"/>
                <w:szCs w:val="22"/>
                <w:lang w:val="en-US" w:eastAsia="zh-CN"/>
              </w:rPr>
              <w:t>1ml浓度≤5</w:t>
            </w:r>
            <w:r>
              <w:rPr>
                <w:rFonts w:hint="eastAsia" w:ascii="仿宋" w:hAnsi="仿宋" w:eastAsia="仿宋"/>
                <w:b/>
                <w:bCs/>
                <w:color w:val="000000"/>
                <w:spacing w:val="2"/>
                <w:sz w:val="22"/>
                <w:szCs w:val="22"/>
                <w:lang w:eastAsia="zh-CN"/>
              </w:rPr>
              <w:t>mg/ml</w:t>
            </w:r>
            <w:r>
              <w:rPr>
                <w:rFonts w:hint="eastAsia" w:ascii="仿宋" w:hAnsi="仿宋" w:eastAsia="仿宋"/>
                <w:b/>
                <w:bCs/>
                <w:color w:val="121212"/>
                <w:spacing w:val="2"/>
                <w:sz w:val="22"/>
                <w:szCs w:val="22"/>
                <w:lang w:eastAsia="zh-CN"/>
              </w:rPr>
              <w:t>（1分）</w:t>
            </w:r>
            <w:bookmarkStart w:id="10" w:name="_GoBack"/>
            <w:bookmarkEnd w:id="10"/>
          </w:p>
          <w:p w14:paraId="4151CA28">
            <w:pPr>
              <w:pStyle w:val="12"/>
              <w:kinsoku/>
              <w:spacing w:after="0" w:line="440" w:lineRule="exact"/>
              <w:ind w:left="0" w:leftChars="0" w:firstLine="0" w:firstLineChars="0"/>
              <w:rPr>
                <w:rFonts w:ascii="仿宋" w:hAnsi="仿宋" w:eastAsia="仿宋"/>
                <w:color w:val="000000"/>
                <w:spacing w:val="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pacing w:val="0"/>
                <w:sz w:val="22"/>
                <w:szCs w:val="22"/>
                <w:shd w:val="clear" w:color="auto" w:fill="FFFFFF"/>
              </w:rPr>
              <w:t>评审依据：提供所投产品厂家盖章的技术白皮书佐证、说明书、</w:t>
            </w:r>
            <w:r>
              <w:rPr>
                <w:rFonts w:hint="eastAsia" w:ascii="仿宋" w:hAnsi="仿宋" w:eastAsia="仿宋"/>
                <w:b/>
                <w:bCs/>
                <w:color w:val="000000"/>
                <w:spacing w:val="0"/>
                <w:sz w:val="22"/>
                <w:szCs w:val="22"/>
                <w:highlight w:val="none"/>
                <w:shd w:val="clear" w:color="auto" w:fill="auto"/>
              </w:rPr>
              <w:t>注册证及附件产品技术要求</w:t>
            </w:r>
            <w:r>
              <w:rPr>
                <w:rFonts w:hint="eastAsia" w:ascii="仿宋" w:hAnsi="仿宋" w:eastAsia="仿宋"/>
                <w:b/>
                <w:bCs/>
                <w:color w:val="000000"/>
                <w:spacing w:val="0"/>
                <w:sz w:val="22"/>
                <w:szCs w:val="22"/>
                <w:shd w:val="clear" w:color="auto" w:fill="FFFFFF"/>
              </w:rPr>
              <w:t>；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54071">
            <w:pPr>
              <w:spacing w:line="460" w:lineRule="exact"/>
              <w:jc w:val="center"/>
              <w:rPr>
                <w:rFonts w:ascii="仿宋" w:hAnsi="仿宋" w:eastAsia="仿宋"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2"/>
                <w:szCs w:val="22"/>
                <w:lang w:eastAsia="zh-CN"/>
              </w:rPr>
              <w:t>4分</w:t>
            </w:r>
          </w:p>
        </w:tc>
      </w:tr>
      <w:tr w14:paraId="7CC6E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95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7F62A">
            <w:pPr>
              <w:spacing w:line="460" w:lineRule="exact"/>
              <w:jc w:val="center"/>
              <w:rPr>
                <w:rFonts w:ascii="仿宋" w:hAnsi="仿宋" w:eastAsia="仿宋"/>
                <w:b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（三）商务部分（ 3分）</w:t>
            </w:r>
          </w:p>
        </w:tc>
      </w:tr>
      <w:tr w14:paraId="4F483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63318">
            <w:pPr>
              <w:spacing w:line="4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评分点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6F7C8">
            <w:pPr>
              <w:spacing w:line="4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评审内容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2083B">
            <w:pPr>
              <w:spacing w:line="4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分值</w:t>
            </w:r>
          </w:p>
        </w:tc>
      </w:tr>
      <w:tr w14:paraId="4664E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EDFF4">
            <w:pPr>
              <w:spacing w:line="400" w:lineRule="exact"/>
              <w:jc w:val="center"/>
              <w:rPr>
                <w:rFonts w:ascii="仿宋" w:hAnsi="仿宋" w:eastAsia="仿宋"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  <w:lang w:eastAsia="zh-CN"/>
              </w:rPr>
              <w:t>加分项</w:t>
            </w:r>
          </w:p>
        </w:tc>
        <w:tc>
          <w:tcPr>
            <w:tcW w:w="7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C7389">
            <w:pPr>
              <w:pStyle w:val="16"/>
              <w:numPr>
                <w:ilvl w:val="0"/>
                <w:numId w:val="3"/>
              </w:numPr>
              <w:spacing w:line="440" w:lineRule="exact"/>
              <w:ind w:firstLineChars="0"/>
              <w:rPr>
                <w:rFonts w:ascii="仿宋" w:hAnsi="仿宋" w:eastAsia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配送时间（0.5分）：</w:t>
            </w:r>
          </w:p>
          <w:p w14:paraId="6F384629">
            <w:pPr>
              <w:pStyle w:val="16"/>
              <w:spacing w:line="440" w:lineRule="exact"/>
              <w:ind w:left="880" w:firstLine="0" w:firstLineChars="0"/>
              <w:rPr>
                <w:rFonts w:ascii="仿宋" w:hAnsi="仿宋" w:eastAsia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收到订单后3个工作日内（0.5分）</w:t>
            </w:r>
          </w:p>
          <w:p w14:paraId="5FA2C516">
            <w:pPr>
              <w:pStyle w:val="16"/>
              <w:numPr>
                <w:ilvl w:val="0"/>
                <w:numId w:val="3"/>
              </w:numPr>
              <w:spacing w:line="440" w:lineRule="exact"/>
              <w:ind w:firstLineChars="0"/>
              <w:rPr>
                <w:rFonts w:ascii="仿宋" w:hAnsi="仿宋" w:eastAsia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产品质保（1.5分）</w:t>
            </w:r>
          </w:p>
          <w:p w14:paraId="121903A9">
            <w:pPr>
              <w:pStyle w:val="16"/>
              <w:spacing w:line="440" w:lineRule="exact"/>
              <w:ind w:left="997" w:leftChars="419" w:firstLine="0" w:firstLineChars="0"/>
              <w:rPr>
                <w:rFonts w:ascii="仿宋" w:hAnsi="仿宋" w:eastAsia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提供生产厂家产品质量保证承诺函≥2年（0.5分）；</w:t>
            </w:r>
          </w:p>
          <w:p w14:paraId="40101543">
            <w:pPr>
              <w:pStyle w:val="16"/>
              <w:spacing w:line="440" w:lineRule="exact"/>
              <w:ind w:left="997" w:leftChars="419" w:firstLine="0" w:firstLineChars="0"/>
              <w:rPr>
                <w:rFonts w:ascii="仿宋" w:hAnsi="仿宋" w:eastAsia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质保期内产品如出现质量问题，提供免费更换承诺（0.5分）</w:t>
            </w:r>
          </w:p>
          <w:p w14:paraId="339F9AFF">
            <w:pPr>
              <w:pStyle w:val="16"/>
              <w:spacing w:line="440" w:lineRule="exact"/>
              <w:ind w:left="997" w:leftChars="419" w:firstLine="0" w:firstLineChars="0"/>
              <w:rPr>
                <w:rFonts w:ascii="仿宋" w:hAnsi="仿宋" w:eastAsia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产品问题响应时间：1.工作日48小时内 2.节假期72小时内(0.5分）</w:t>
            </w:r>
          </w:p>
          <w:p w14:paraId="547B10F2">
            <w:pPr>
              <w:pStyle w:val="16"/>
              <w:numPr>
                <w:ilvl w:val="0"/>
                <w:numId w:val="3"/>
              </w:numPr>
              <w:spacing w:line="440" w:lineRule="exact"/>
              <w:ind w:firstLineChars="0"/>
              <w:rPr>
                <w:rFonts w:ascii="仿宋" w:hAnsi="仿宋" w:eastAsia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产品培训（1分）：</w:t>
            </w:r>
          </w:p>
          <w:p w14:paraId="62298845">
            <w:pPr>
              <w:pStyle w:val="16"/>
              <w:spacing w:line="440" w:lineRule="exact"/>
              <w:ind w:left="880" w:firstLine="0" w:firstLineChars="0"/>
              <w:rPr>
                <w:rFonts w:ascii="仿宋" w:hAnsi="仿宋" w:eastAsia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eastAsia="zh-CN"/>
              </w:rPr>
              <w:t>入院科室培训1次(0.5分）；每年科室培训（含理论+实操）2次(0.5分）。</w:t>
            </w:r>
          </w:p>
          <w:p w14:paraId="61CFFCAF">
            <w:pPr>
              <w:pStyle w:val="5"/>
              <w:widowControl w:val="0"/>
              <w:kinsoku/>
              <w:autoSpaceDE/>
              <w:autoSpaceDN/>
              <w:adjustRightInd/>
              <w:spacing w:line="360" w:lineRule="auto"/>
              <w:textAlignment w:val="auto"/>
              <w:rPr>
                <w:sz w:val="22"/>
                <w:szCs w:val="22"/>
                <w:lang w:eastAsia="zh-CN"/>
              </w:rPr>
            </w:pPr>
            <w:r>
              <w:rPr>
                <w:rFonts w:hint="eastAsia" w:cs="宋体"/>
                <w:b/>
                <w:sz w:val="22"/>
                <w:szCs w:val="22"/>
                <w:lang w:eastAsia="zh-CN"/>
              </w:rPr>
              <w:t>评审依据：提供售后服务承诺书、质量保证承诺函并加盖原厂家公章的原件扫描件。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9C7AB">
            <w:pPr>
              <w:spacing w:line="400" w:lineRule="exact"/>
              <w:jc w:val="center"/>
              <w:rPr>
                <w:rFonts w:ascii="仿宋" w:hAnsi="仿宋" w:eastAsia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lang w:eastAsia="zh-CN"/>
              </w:rPr>
              <w:t>3分</w:t>
            </w:r>
          </w:p>
        </w:tc>
      </w:tr>
    </w:tbl>
    <w:p w14:paraId="2897B09A">
      <w:pPr>
        <w:widowControl w:val="0"/>
        <w:spacing w:line="460" w:lineRule="exact"/>
        <w:rPr>
          <w:rFonts w:ascii="仿宋" w:hAnsi="仿宋" w:eastAsia="仿宋"/>
          <w:sz w:val="28"/>
          <w:szCs w:val="28"/>
          <w:lang w:eastAsia="zh-CN"/>
        </w:rPr>
      </w:pPr>
    </w:p>
    <w:p w14:paraId="6A78369D">
      <w:pPr>
        <w:rPr>
          <w:rFonts w:ascii="仿宋" w:hAnsi="仿宋" w:eastAsia="仿宋"/>
          <w:sz w:val="28"/>
          <w:szCs w:val="28"/>
          <w:lang w:eastAsia="zh-CN"/>
        </w:rPr>
      </w:pPr>
    </w:p>
    <w:sectPr>
      <w:footerReference r:id="rId5" w:type="default"/>
      <w:pgSz w:w="11906" w:h="16839"/>
      <w:pgMar w:top="1234" w:right="1304" w:bottom="1156" w:left="1307" w:header="0" w:footer="99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6D50F3">
    <w:pPr>
      <w:pStyle w:val="8"/>
      <w:rPr>
        <w:lang w:eastAsia="zh-CN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-47625</wp:posOffset>
              </wp:positionV>
              <wp:extent cx="1828800" cy="182880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57CFE7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-3.75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S/jN9QAAAAH&#10;AQAADwAAAGRycy9kb3ducmV2LnhtbE2PQU/DMAyF70j8h8hI3LZkg0FVmk5iohyRWDlwzBrTFhqn&#10;SrKu/Hu8E7v5+VnvfS62sxvEhCH2njSslgoEUuNtT62Gj7paZCBiMmTN4Ak1/GKEbXl9VZjc+hO9&#10;47RPreAQirnR0KU05lLGpkNn4tKPSOx9+eBMYhlaaYM5cbgb5FqpB+lMT9zQmRF3HTY/+6PTsKvq&#10;OkwYw/CJr9Xd99vzPb7MWt/erNQTiIRz+j+GMz6jQ8lMB38kG8WggR9JGhaPGxDsrrOMF4fzoDYg&#10;y0Je8pd/UEsDBBQAAAAIAIdO4kCg545v0QEAAKIDAAAOAAAAZHJzL2Uyb0RvYy54bWytU82O0zAQ&#10;viPxDpbvNGnRrqqo7gpULUJCgLTwAK5jN5b8J4/bpC8Ab8CJC3eeq8/B2Em6aLnsgYsz4xl/M983&#10;k83dYA05yQjaO0aXi5oS6YRvtTsw+vXL/as1JZC4a7nxTjJ6lkDvti9fbPrQyJXvvGllJAjioOkD&#10;o11KoakqEJ20HBY+SIdB5aPlCd14qNrIe0S3plrV9W3V+9iG6IUEwNvdGKQTYnwOoFdKC7nz4mil&#10;SyNqlIYnpASdDkC3pVulpEiflAKZiGEUmaZyYhG09/msthveHCIPnRZTC/w5LTzhZLl2WPQKteOJ&#10;k2PU/0BZLaIHr9JCeFuNRIoiyGJZP9HmoeNBFi4oNYSr6PD/YMXH0+dIdMvoDSWOWxz45cf3y8/f&#10;l1/fyDLL0wdoMOshYF4a3voBl2a+B7zMrAcVbf4iH4JxFPd8FVcOiYj8aL1ar2sMCYzNDuJXj89D&#10;hPROekuywWjE6RVR+ekDpDF1TsnVnL/XxpQJGkd6Rm9f39TlwTWC4MZhjUxibDZbadgPE7O9b89I&#10;rMcNYNThwlNi3jsUOC/LbMTZ2M/GMUR96LDHZakH4c0xYTelyVxhhJ0K4+gKzWnN8m787Zesx19r&#10;+w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dL+M31AAAAAcBAAAPAAAAAAAAAAEAIAAAACIAAABk&#10;cnMvZG93bnJldi54bWxQSwECFAAUAAAACACHTuJAoOeOb9EBAACiAwAADgAAAAAAAAABACAAAAAj&#10;AQAAZHJzL2Uyb0RvYy54bWxQSwUGAAAAAAYABgBZAQAAZ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57CFE7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4E6793"/>
    <w:multiLevelType w:val="multilevel"/>
    <w:tmpl w:val="1A4E6793"/>
    <w:lvl w:ilvl="0" w:tentative="0">
      <w:start w:val="1"/>
      <w:numFmt w:val="decimal"/>
      <w:lvlText w:val="%1、"/>
      <w:lvlJc w:val="left"/>
      <w:pPr>
        <w:ind w:left="88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320" w:hanging="440"/>
      </w:pPr>
    </w:lvl>
    <w:lvl w:ilvl="2" w:tentative="0">
      <w:start w:val="1"/>
      <w:numFmt w:val="lowerRoman"/>
      <w:lvlText w:val="%3."/>
      <w:lvlJc w:val="right"/>
      <w:pPr>
        <w:ind w:left="1760" w:hanging="440"/>
      </w:pPr>
    </w:lvl>
    <w:lvl w:ilvl="3" w:tentative="0">
      <w:start w:val="1"/>
      <w:numFmt w:val="decimal"/>
      <w:lvlText w:val="%4."/>
      <w:lvlJc w:val="left"/>
      <w:pPr>
        <w:ind w:left="2200" w:hanging="440"/>
      </w:pPr>
    </w:lvl>
    <w:lvl w:ilvl="4" w:tentative="0">
      <w:start w:val="1"/>
      <w:numFmt w:val="lowerLetter"/>
      <w:lvlText w:val="%5)"/>
      <w:lvlJc w:val="left"/>
      <w:pPr>
        <w:ind w:left="2640" w:hanging="440"/>
      </w:pPr>
    </w:lvl>
    <w:lvl w:ilvl="5" w:tentative="0">
      <w:start w:val="1"/>
      <w:numFmt w:val="lowerRoman"/>
      <w:lvlText w:val="%6."/>
      <w:lvlJc w:val="right"/>
      <w:pPr>
        <w:ind w:left="3080" w:hanging="440"/>
      </w:pPr>
    </w:lvl>
    <w:lvl w:ilvl="6" w:tentative="0">
      <w:start w:val="1"/>
      <w:numFmt w:val="decimal"/>
      <w:lvlText w:val="%7."/>
      <w:lvlJc w:val="left"/>
      <w:pPr>
        <w:ind w:left="3520" w:hanging="440"/>
      </w:pPr>
    </w:lvl>
    <w:lvl w:ilvl="7" w:tentative="0">
      <w:start w:val="1"/>
      <w:numFmt w:val="lowerLetter"/>
      <w:lvlText w:val="%8)"/>
      <w:lvlJc w:val="left"/>
      <w:pPr>
        <w:ind w:left="3960" w:hanging="440"/>
      </w:pPr>
    </w:lvl>
    <w:lvl w:ilvl="8" w:tentative="0">
      <w:start w:val="1"/>
      <w:numFmt w:val="lowerRoman"/>
      <w:lvlText w:val="%9."/>
      <w:lvlJc w:val="right"/>
      <w:pPr>
        <w:ind w:left="4400" w:hanging="440"/>
      </w:pPr>
    </w:lvl>
  </w:abstractNum>
  <w:abstractNum w:abstractNumId="1">
    <w:nsid w:val="4F4002B7"/>
    <w:multiLevelType w:val="multilevel"/>
    <w:tmpl w:val="4F4002B7"/>
    <w:lvl w:ilvl="0" w:tentative="0">
      <w:start w:val="1"/>
      <w:numFmt w:val="decimal"/>
      <w:lvlText w:val="%1、"/>
      <w:lvlJc w:val="left"/>
      <w:pPr>
        <w:ind w:left="4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685EA12E"/>
    <w:multiLevelType w:val="singleLevel"/>
    <w:tmpl w:val="685EA12E"/>
    <w:lvl w:ilvl="0" w:tentative="0">
      <w:start w:val="1"/>
      <w:numFmt w:val="decimal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5BB"/>
    <w:rsid w:val="00116D6E"/>
    <w:rsid w:val="00180A5F"/>
    <w:rsid w:val="00286D59"/>
    <w:rsid w:val="002A1E30"/>
    <w:rsid w:val="002E659E"/>
    <w:rsid w:val="00503B63"/>
    <w:rsid w:val="005575BB"/>
    <w:rsid w:val="005E7A49"/>
    <w:rsid w:val="00612B3A"/>
    <w:rsid w:val="006F1CC8"/>
    <w:rsid w:val="007A1AEC"/>
    <w:rsid w:val="007F4758"/>
    <w:rsid w:val="00917A6B"/>
    <w:rsid w:val="00987514"/>
    <w:rsid w:val="00AA0532"/>
    <w:rsid w:val="00AB0194"/>
    <w:rsid w:val="00BF2E7F"/>
    <w:rsid w:val="00C85226"/>
    <w:rsid w:val="00C85770"/>
    <w:rsid w:val="00D7787C"/>
    <w:rsid w:val="088F4758"/>
    <w:rsid w:val="1C8F0675"/>
    <w:rsid w:val="20727E8B"/>
    <w:rsid w:val="237C2896"/>
    <w:rsid w:val="258A74DA"/>
    <w:rsid w:val="29844053"/>
    <w:rsid w:val="2D0667EB"/>
    <w:rsid w:val="2D137C0F"/>
    <w:rsid w:val="387669EB"/>
    <w:rsid w:val="3D1B6DFC"/>
    <w:rsid w:val="40FC085C"/>
    <w:rsid w:val="469320F9"/>
    <w:rsid w:val="46F42C75"/>
    <w:rsid w:val="4B594DD5"/>
    <w:rsid w:val="4D5A11EA"/>
    <w:rsid w:val="56E10C5F"/>
    <w:rsid w:val="58743819"/>
    <w:rsid w:val="589574E2"/>
    <w:rsid w:val="5CED34D6"/>
    <w:rsid w:val="5FA54910"/>
    <w:rsid w:val="69DB371F"/>
    <w:rsid w:val="73BFD669"/>
    <w:rsid w:val="782E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after="160" w:line="278" w:lineRule="auto"/>
      <w:textAlignment w:val="baseline"/>
    </w:pPr>
    <w:rPr>
      <w:rFonts w:ascii="Arial" w:hAnsi="Arial" w:eastAsia="宋体" w:cs="宋体"/>
      <w:snapToGrid w:val="0"/>
      <w:spacing w:val="-1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line="460" w:lineRule="exact"/>
      <w:jc w:val="center"/>
      <w:outlineLvl w:val="0"/>
    </w:pPr>
    <w:rPr>
      <w:rFonts w:ascii="Times New Roman" w:hAnsi="Times New Roman" w:cs="Times New Roman"/>
      <w:b/>
      <w:bCs/>
      <w:kern w:val="44"/>
      <w:sz w:val="32"/>
    </w:rPr>
  </w:style>
  <w:style w:type="paragraph" w:styleId="3">
    <w:name w:val="heading 2"/>
    <w:basedOn w:val="1"/>
    <w:next w:val="1"/>
    <w:qFormat/>
    <w:uiPriority w:val="0"/>
    <w:pPr>
      <w:keepNext/>
      <w:keepLines/>
      <w:kinsoku/>
      <w:spacing w:line="460" w:lineRule="exact"/>
      <w:outlineLvl w:val="1"/>
    </w:pPr>
    <w:rPr>
      <w:rFonts w:ascii="宋体" w:hAnsi="宋体"/>
      <w:b/>
      <w:bCs/>
      <w:spacing w:val="0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1"/>
    <w:qFormat/>
    <w:uiPriority w:val="0"/>
  </w:style>
  <w:style w:type="paragraph" w:styleId="5">
    <w:name w:val="Body Text"/>
    <w:basedOn w:val="1"/>
    <w:next w:val="1"/>
    <w:qFormat/>
    <w:uiPriority w:val="0"/>
    <w:rPr>
      <w:rFonts w:ascii="仿宋" w:hAnsi="仿宋" w:eastAsia="仿宋" w:cs="仿宋"/>
      <w:sz w:val="30"/>
      <w:szCs w:val="30"/>
    </w:rPr>
  </w:style>
  <w:style w:type="paragraph" w:styleId="6">
    <w:name w:val="Body Text Indent"/>
    <w:basedOn w:val="1"/>
    <w:unhideWhenUsed/>
    <w:qFormat/>
    <w:uiPriority w:val="99"/>
    <w:pPr>
      <w:spacing w:after="120"/>
      <w:ind w:left="420" w:leftChars="200"/>
    </w:pPr>
    <w:rPr>
      <w:rFonts w:eastAsia="微软雅黑"/>
      <w:szCs w:val="20"/>
    </w:rPr>
  </w:style>
  <w:style w:type="paragraph" w:styleId="7">
    <w:name w:val="Balloon Text"/>
    <w:basedOn w:val="1"/>
    <w:link w:val="23"/>
    <w:qFormat/>
    <w:uiPriority w:val="0"/>
    <w:pPr>
      <w:spacing w:after="0" w:line="240" w:lineRule="auto"/>
    </w:pPr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9">
    <w:name w:val="header"/>
    <w:basedOn w:val="1"/>
    <w:link w:val="19"/>
    <w:qFormat/>
    <w:uiPriority w:val="0"/>
    <w:pP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10">
    <w:name w:val="annotation subject"/>
    <w:basedOn w:val="4"/>
    <w:next w:val="4"/>
    <w:link w:val="22"/>
    <w:qFormat/>
    <w:uiPriority w:val="0"/>
    <w:rPr>
      <w:b/>
      <w:bCs/>
    </w:rPr>
  </w:style>
  <w:style w:type="paragraph" w:styleId="11">
    <w:name w:val="Body Text First Indent"/>
    <w:basedOn w:val="5"/>
    <w:qFormat/>
    <w:uiPriority w:val="0"/>
    <w:pPr>
      <w:ind w:firstLine="420" w:firstLineChars="100"/>
    </w:pPr>
  </w:style>
  <w:style w:type="paragraph" w:styleId="12">
    <w:name w:val="Body Text First Indent 2"/>
    <w:basedOn w:val="6"/>
    <w:qFormat/>
    <w:uiPriority w:val="0"/>
    <w:pPr>
      <w:ind w:firstLine="420" w:firstLineChars="200"/>
      <w:jc w:val="both"/>
    </w:pPr>
    <w:rPr>
      <w:kern w:val="2"/>
      <w:sz w:val="21"/>
      <w:lang w:eastAsia="zh-CN"/>
    </w:rPr>
  </w:style>
  <w:style w:type="character" w:styleId="15">
    <w:name w:val="annotation reference"/>
    <w:basedOn w:val="14"/>
    <w:qFormat/>
    <w:uiPriority w:val="0"/>
    <w:rPr>
      <w:sz w:val="21"/>
      <w:szCs w:val="21"/>
    </w:rPr>
  </w:style>
  <w:style w:type="paragraph" w:customStyle="1" w:styleId="16">
    <w:name w:val="列表段落1"/>
    <w:basedOn w:val="1"/>
    <w:qFormat/>
    <w:uiPriority w:val="34"/>
    <w:pPr>
      <w:ind w:firstLine="420" w:firstLineChars="200"/>
    </w:pPr>
    <w:rPr>
      <w:rFonts w:ascii="Times New Roman" w:hAnsi="Times New Roman" w:cs="Times New Roman"/>
    </w:rPr>
  </w:style>
  <w:style w:type="paragraph" w:customStyle="1" w:styleId="17">
    <w:name w:val="Normal Indent1"/>
    <w:basedOn w:val="1"/>
    <w:qFormat/>
    <w:uiPriority w:val="0"/>
    <w:pPr>
      <w:ind w:firstLine="420" w:firstLineChars="200"/>
    </w:pPr>
  </w:style>
  <w:style w:type="character" w:customStyle="1" w:styleId="18">
    <w:name w:val="font3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9">
    <w:name w:val="页眉 Char"/>
    <w:basedOn w:val="14"/>
    <w:link w:val="9"/>
    <w:qFormat/>
    <w:uiPriority w:val="0"/>
    <w:rPr>
      <w:rFonts w:ascii="Arial" w:hAnsi="Arial" w:cs="宋体"/>
      <w:snapToGrid w:val="0"/>
      <w:spacing w:val="-1"/>
      <w:sz w:val="18"/>
      <w:szCs w:val="18"/>
      <w:lang w:eastAsia="en-US"/>
    </w:rPr>
  </w:style>
  <w:style w:type="paragraph" w:customStyle="1" w:styleId="20">
    <w:name w:val="修订1"/>
    <w:hidden/>
    <w:unhideWhenUsed/>
    <w:qFormat/>
    <w:uiPriority w:val="99"/>
    <w:rPr>
      <w:rFonts w:ascii="Arial" w:hAnsi="Arial" w:eastAsia="宋体" w:cs="宋体"/>
      <w:snapToGrid w:val="0"/>
      <w:spacing w:val="-1"/>
      <w:sz w:val="24"/>
      <w:szCs w:val="24"/>
      <w:lang w:val="en-US" w:eastAsia="en-US" w:bidi="ar-SA"/>
    </w:rPr>
  </w:style>
  <w:style w:type="character" w:customStyle="1" w:styleId="21">
    <w:name w:val="批注文字 Char"/>
    <w:basedOn w:val="14"/>
    <w:link w:val="4"/>
    <w:qFormat/>
    <w:uiPriority w:val="0"/>
    <w:rPr>
      <w:rFonts w:ascii="Arial" w:hAnsi="Arial" w:cs="宋体"/>
      <w:snapToGrid w:val="0"/>
      <w:spacing w:val="-1"/>
      <w:sz w:val="24"/>
      <w:szCs w:val="24"/>
      <w:lang w:eastAsia="en-US"/>
    </w:rPr>
  </w:style>
  <w:style w:type="character" w:customStyle="1" w:styleId="22">
    <w:name w:val="批注主题 Char"/>
    <w:basedOn w:val="21"/>
    <w:link w:val="10"/>
    <w:qFormat/>
    <w:uiPriority w:val="0"/>
    <w:rPr>
      <w:rFonts w:ascii="Arial" w:hAnsi="Arial" w:cs="宋体"/>
      <w:b/>
      <w:bCs/>
      <w:snapToGrid w:val="0"/>
      <w:spacing w:val="-1"/>
      <w:sz w:val="24"/>
      <w:szCs w:val="24"/>
      <w:lang w:eastAsia="en-US"/>
    </w:rPr>
  </w:style>
  <w:style w:type="character" w:customStyle="1" w:styleId="23">
    <w:name w:val="批注框文本 Char"/>
    <w:basedOn w:val="14"/>
    <w:link w:val="7"/>
    <w:qFormat/>
    <w:uiPriority w:val="0"/>
    <w:rPr>
      <w:rFonts w:ascii="Arial" w:hAnsi="Arial" w:cs="宋体"/>
      <w:snapToGrid w:val="0"/>
      <w:spacing w:val="-1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425BD9-8836-4334-80D8-413CA4F010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896</Words>
  <Characters>959</Characters>
  <Lines>7</Lines>
  <Paragraphs>2</Paragraphs>
  <TotalTime>41</TotalTime>
  <ScaleCrop>false</ScaleCrop>
  <LinksUpToDate>false</LinksUpToDate>
  <CharactersWithSpaces>968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2025-07-08T22:53:00Z</dcterms:created>
  <dc:creator>罗美荣</dc:creator>
  <cp:lastModifiedBy>徐永丰</cp:lastModifiedBy>
  <dcterms:modified xsi:type="dcterms:W3CDTF">2025-10-09T14:35:15Z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E4CF8AC0E7F74D34807F7577A452FCD3_13</vt:lpwstr>
  </property>
  <property fmtid="{D5CDD505-2E9C-101B-9397-08002B2CF9AE}" pid="4" name="KSOTemplateDocerSaveRecord">
    <vt:lpwstr>eyJoZGlkIjoiNGZhMzNkYjQ3Y2UwMmZiMzZhYzRkMjRkYzZiYWU5OGEiLCJ1c2VySWQiOiIyOTQ2ODc4NDIifQ==</vt:lpwstr>
  </property>
</Properties>
</file>