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CCFA5">
      <w:pPr>
        <w:pStyle w:val="3"/>
        <w:jc w:val="center"/>
        <w:rPr>
          <w:rFonts w:hint="eastAsia" w:ascii="方正小标宋简体" w:hAnsi="方正小标宋简体" w:eastAsia="方正小标宋简体" w:cs="Arial"/>
          <w:b w:val="0"/>
          <w:bCs w:val="0"/>
          <w:color w:val="auto"/>
          <w:spacing w:val="0"/>
          <w:sz w:val="40"/>
          <w:szCs w:val="40"/>
          <w:lang w:eastAsia="zh-CN"/>
        </w:rPr>
      </w:pPr>
      <w:bookmarkStart w:id="0" w:name="_Toc22936"/>
      <w:bookmarkStart w:id="1" w:name="_Toc24956"/>
      <w:r>
        <w:rPr>
          <w:rFonts w:hint="eastAsia" w:ascii="方正小标宋简体" w:hAnsi="方正小标宋简体" w:eastAsia="方正小标宋简体" w:cs="Arial"/>
          <w:b w:val="0"/>
          <w:bCs w:val="0"/>
          <w:color w:val="auto"/>
          <w:spacing w:val="0"/>
          <w:sz w:val="40"/>
          <w:szCs w:val="40"/>
          <w:lang w:eastAsia="zh-CN"/>
        </w:rPr>
        <w:t>南昌医学院文化育人户外文创服务项目</w:t>
      </w:r>
    </w:p>
    <w:p w14:paraId="34E9B106">
      <w:pPr>
        <w:pStyle w:val="3"/>
        <w:jc w:val="center"/>
        <w:rPr>
          <w:rFonts w:hint="eastAsia" w:ascii="方正小标宋简体" w:hAnsi="方正小标宋简体" w:eastAsia="方正小标宋简体" w:cs="Arial"/>
          <w:b w:val="0"/>
          <w:bCs w:val="0"/>
          <w:color w:val="auto"/>
          <w:spacing w:val="0"/>
          <w:sz w:val="40"/>
          <w:szCs w:val="40"/>
          <w:lang w:eastAsia="zh-CN"/>
        </w:rPr>
      </w:pPr>
      <w:r>
        <w:rPr>
          <w:rFonts w:hint="eastAsia" w:ascii="方正小标宋简体" w:hAnsi="方正小标宋简体" w:eastAsia="方正小标宋简体" w:cs="Arial"/>
          <w:b w:val="0"/>
          <w:bCs w:val="0"/>
          <w:color w:val="auto"/>
          <w:spacing w:val="0"/>
          <w:sz w:val="40"/>
          <w:szCs w:val="40"/>
          <w:lang w:eastAsia="zh-CN"/>
        </w:rPr>
        <w:t>项目信息</w:t>
      </w:r>
    </w:p>
    <w:p w14:paraId="04CDC3FA">
      <w:pPr>
        <w:keepNext/>
        <w:keepLines/>
        <w:pageBreakBefore w:val="0"/>
        <w:widowControl/>
        <w:kinsoku/>
        <w:wordWrap/>
        <w:overflowPunct/>
        <w:topLinePunct w:val="0"/>
        <w:autoSpaceDE w:val="0"/>
        <w:autoSpaceDN w:val="0"/>
        <w:bidi w:val="0"/>
        <w:adjustRightInd w:val="0"/>
        <w:snapToGrid w:val="0"/>
        <w:textAlignment w:val="baseline"/>
        <w:outlineLvl w:val="9"/>
        <w:rPr>
          <w:rFonts w:hint="eastAsia"/>
          <w:b w:val="0"/>
          <w:bCs w:val="0"/>
          <w:color w:val="auto"/>
          <w:lang w:val="en-US" w:eastAsia="zh-CN"/>
        </w:rPr>
      </w:pPr>
    </w:p>
    <w:p w14:paraId="21402EBF">
      <w:pPr>
        <w:pStyle w:val="3"/>
        <w:rPr>
          <w:b/>
          <w:bCs/>
          <w:color w:val="auto"/>
          <w:lang w:eastAsia="zh-CN"/>
        </w:rPr>
      </w:pPr>
      <w:r>
        <w:rPr>
          <w:rFonts w:hint="eastAsia"/>
          <w:b/>
          <w:bCs/>
          <w:color w:val="auto"/>
          <w:lang w:val="en-US" w:eastAsia="zh-CN"/>
        </w:rPr>
        <w:t>一、</w:t>
      </w:r>
      <w:r>
        <w:rPr>
          <w:rFonts w:hint="eastAsia"/>
          <w:b/>
          <w:bCs/>
          <w:color w:val="auto"/>
          <w:lang w:eastAsia="zh-CN"/>
        </w:rPr>
        <w:t>项目基本情况</w:t>
      </w:r>
      <w:bookmarkEnd w:id="0"/>
      <w:bookmarkEnd w:id="1"/>
    </w:p>
    <w:p w14:paraId="32F6C6DB">
      <w:pPr>
        <w:widowControl w:val="0"/>
        <w:kinsoku/>
        <w:wordWrap w:val="0"/>
        <w:spacing w:line="460" w:lineRule="exact"/>
        <w:ind w:firstLine="452" w:firstLineChars="200"/>
        <w:rPr>
          <w:rFonts w:hint="eastAsia" w:ascii="宋体" w:hAnsi="宋体"/>
          <w:b w:val="0"/>
          <w:bCs w:val="0"/>
          <w:color w:val="auto"/>
          <w:spacing w:val="-7"/>
          <w:lang w:eastAsia="zh-CN"/>
        </w:rPr>
      </w:pPr>
      <w:r>
        <w:rPr>
          <w:rFonts w:hint="eastAsia" w:ascii="宋体" w:hAnsi="宋体"/>
          <w:b w:val="0"/>
          <w:bCs w:val="0"/>
          <w:color w:val="auto"/>
          <w:spacing w:val="-7"/>
          <w:lang w:eastAsia="zh-CN"/>
        </w:rPr>
        <w:t>项目名称：南昌医学院文化育人户外文创服务项目</w:t>
      </w:r>
    </w:p>
    <w:p w14:paraId="123E7C30">
      <w:pPr>
        <w:widowControl w:val="0"/>
        <w:kinsoku/>
        <w:wordWrap w:val="0"/>
        <w:spacing w:line="460" w:lineRule="exact"/>
        <w:ind w:firstLine="452" w:firstLineChars="200"/>
        <w:rPr>
          <w:rFonts w:hint="default" w:ascii="宋体" w:hAnsi="宋体"/>
          <w:b w:val="0"/>
          <w:bCs w:val="0"/>
          <w:color w:val="auto"/>
          <w:spacing w:val="-7"/>
          <w:lang w:val="en-US" w:eastAsia="zh-CN"/>
        </w:rPr>
      </w:pPr>
      <w:r>
        <w:rPr>
          <w:rFonts w:hint="eastAsia" w:ascii="宋体" w:hAnsi="宋体"/>
          <w:b w:val="0"/>
          <w:bCs w:val="0"/>
          <w:color w:val="auto"/>
          <w:spacing w:val="-7"/>
          <w:lang w:eastAsia="zh-CN"/>
        </w:rPr>
        <w:t>采购方式：</w:t>
      </w:r>
      <w:r>
        <w:rPr>
          <w:rFonts w:hint="eastAsia" w:ascii="宋体" w:hAnsi="宋体"/>
          <w:b w:val="0"/>
          <w:bCs w:val="0"/>
          <w:color w:val="auto"/>
          <w:spacing w:val="-7"/>
          <w:lang w:val="en-US" w:eastAsia="zh-CN"/>
        </w:rPr>
        <w:t>竞争性磋商</w:t>
      </w:r>
    </w:p>
    <w:p w14:paraId="63C860E0">
      <w:pPr>
        <w:widowControl w:val="0"/>
        <w:kinsoku/>
        <w:wordWrap w:val="0"/>
        <w:spacing w:line="460" w:lineRule="exact"/>
        <w:ind w:firstLine="460" w:firstLineChars="200"/>
        <w:rPr>
          <w:rFonts w:hint="eastAsia" w:ascii="宋体" w:hAnsi="宋体"/>
          <w:b w:val="0"/>
          <w:bCs w:val="0"/>
          <w:color w:val="auto"/>
          <w:spacing w:val="-5"/>
        </w:rPr>
      </w:pPr>
      <w:r>
        <w:rPr>
          <w:rFonts w:hint="eastAsia" w:ascii="宋体" w:hAnsi="宋体"/>
          <w:b w:val="0"/>
          <w:bCs w:val="0"/>
          <w:color w:val="auto"/>
          <w:spacing w:val="-5"/>
        </w:rPr>
        <w:t>合同履行期限：</w:t>
      </w:r>
      <w:r>
        <w:rPr>
          <w:rFonts w:hint="eastAsia" w:ascii="宋体" w:hAnsi="宋体"/>
          <w:b w:val="0"/>
          <w:bCs w:val="0"/>
          <w:color w:val="auto"/>
          <w:spacing w:val="-5"/>
          <w:lang w:val="en-US" w:eastAsia="zh-CN"/>
        </w:rPr>
        <w:t>成交供应商应在签订本合同之日起20个日历日内，将合同附件所列全部货物送达采购人指定地点并全部安装验收完成。</w:t>
      </w:r>
    </w:p>
    <w:p w14:paraId="206BE769">
      <w:pPr>
        <w:widowControl w:val="0"/>
        <w:kinsoku/>
        <w:wordWrap w:val="0"/>
        <w:spacing w:line="460" w:lineRule="exact"/>
        <w:ind w:firstLine="460" w:firstLineChars="200"/>
        <w:rPr>
          <w:rFonts w:hint="eastAsia" w:ascii="宋体" w:hAnsi="宋体"/>
          <w:b w:val="0"/>
          <w:bCs w:val="0"/>
          <w:color w:val="auto"/>
          <w:spacing w:val="-5"/>
          <w:u w:val="single"/>
          <w:lang w:eastAsia="zh-CN"/>
        </w:rPr>
      </w:pPr>
      <w:r>
        <w:rPr>
          <w:rFonts w:hint="eastAsia" w:ascii="宋体" w:hAnsi="宋体"/>
          <w:b w:val="0"/>
          <w:bCs w:val="0"/>
          <w:color w:val="auto"/>
          <w:spacing w:val="-5"/>
        </w:rPr>
        <w:t>本项目不接受联合体</w:t>
      </w:r>
      <w:r>
        <w:rPr>
          <w:rFonts w:hint="eastAsia" w:ascii="宋体" w:hAnsi="宋体"/>
          <w:b w:val="0"/>
          <w:bCs w:val="0"/>
          <w:color w:val="auto"/>
          <w:spacing w:val="-5"/>
          <w:lang w:val="en-US" w:eastAsia="zh-CN"/>
        </w:rPr>
        <w:t>投标</w:t>
      </w:r>
      <w:r>
        <w:rPr>
          <w:rFonts w:hint="eastAsia" w:ascii="宋体" w:hAnsi="宋体"/>
          <w:b w:val="0"/>
          <w:bCs w:val="0"/>
          <w:color w:val="auto"/>
          <w:spacing w:val="-5"/>
        </w:rPr>
        <w:t>。</w:t>
      </w:r>
    </w:p>
    <w:p w14:paraId="31175C10">
      <w:pPr>
        <w:pStyle w:val="3"/>
        <w:rPr>
          <w:b/>
          <w:bCs/>
          <w:lang w:eastAsia="zh-CN"/>
        </w:rPr>
      </w:pPr>
      <w:bookmarkStart w:id="2" w:name="_Toc22458"/>
      <w:bookmarkStart w:id="3" w:name="_Toc5686"/>
      <w:r>
        <w:rPr>
          <w:rFonts w:hint="eastAsia"/>
          <w:b/>
          <w:bCs/>
          <w:color w:val="auto"/>
          <w:lang w:val="en-US" w:eastAsia="zh-CN"/>
        </w:rPr>
        <w:t>二、</w:t>
      </w:r>
      <w:r>
        <w:rPr>
          <w:rFonts w:hint="eastAsia"/>
          <w:b/>
          <w:bCs/>
          <w:color w:val="auto"/>
          <w:lang w:eastAsia="zh-CN"/>
        </w:rPr>
        <w:t>投标人的资格要</w:t>
      </w:r>
      <w:r>
        <w:rPr>
          <w:rFonts w:hint="eastAsia"/>
          <w:b/>
          <w:bCs/>
          <w:lang w:eastAsia="zh-CN"/>
        </w:rPr>
        <w:t>求</w:t>
      </w:r>
      <w:bookmarkEnd w:id="2"/>
      <w:bookmarkEnd w:id="3"/>
    </w:p>
    <w:p w14:paraId="7AB9AD2E">
      <w:pPr>
        <w:widowControl w:val="0"/>
        <w:kinsoku/>
        <w:wordWrap w:val="0"/>
        <w:spacing w:line="460" w:lineRule="exact"/>
        <w:ind w:firstLine="460" w:firstLineChars="200"/>
        <w:rPr>
          <w:rFonts w:hint="eastAsia" w:ascii="宋体" w:hAnsi="宋体" w:eastAsia="宋体" w:cs="宋体"/>
          <w:b w:val="0"/>
          <w:bCs w:val="0"/>
          <w:color w:val="auto"/>
          <w:spacing w:val="-5"/>
          <w:lang w:val="en-US" w:eastAsia="zh-CN"/>
        </w:rPr>
      </w:pPr>
      <w:bookmarkStart w:id="4" w:name="_Toc29296"/>
      <w:bookmarkStart w:id="5" w:name="_Toc24924"/>
      <w:bookmarkStart w:id="6" w:name="_Toc14693"/>
      <w:bookmarkStart w:id="7" w:name="_Toc25545"/>
      <w:bookmarkStart w:id="8" w:name="_Toc2349"/>
      <w:r>
        <w:rPr>
          <w:rFonts w:hint="eastAsia" w:ascii="宋体" w:hAnsi="宋体" w:eastAsia="宋体" w:cs="宋体"/>
          <w:b w:val="0"/>
          <w:bCs w:val="0"/>
          <w:color w:val="auto"/>
          <w:spacing w:val="-5"/>
          <w:lang w:val="en-US" w:eastAsia="zh-CN"/>
        </w:rPr>
        <w:t>1.满足以下规定：</w:t>
      </w:r>
    </w:p>
    <w:p w14:paraId="1A7D8669">
      <w:pPr>
        <w:widowControl w:val="0"/>
        <w:kinsoku/>
        <w:wordWrap w:val="0"/>
        <w:spacing w:line="460" w:lineRule="exact"/>
        <w:ind w:firstLine="460" w:firstLineChars="200"/>
        <w:rPr>
          <w:rFonts w:hint="eastAsia" w:ascii="宋体" w:hAnsi="宋体" w:eastAsia="宋体" w:cs="宋体"/>
          <w:b w:val="0"/>
          <w:bCs w:val="0"/>
          <w:color w:val="auto"/>
          <w:spacing w:val="-5"/>
          <w:lang w:val="en-US" w:eastAsia="zh-CN"/>
        </w:rPr>
      </w:pPr>
      <w:r>
        <w:rPr>
          <w:rFonts w:hint="eastAsia" w:ascii="宋体" w:hAnsi="宋体" w:eastAsia="宋体" w:cs="宋体"/>
          <w:b w:val="0"/>
          <w:bCs w:val="0"/>
          <w:color w:val="auto"/>
          <w:spacing w:val="-5"/>
          <w:lang w:val="en-US" w:eastAsia="zh-CN"/>
        </w:rPr>
        <w:t>（1）具有独立承担民事责任的能力；</w:t>
      </w:r>
    </w:p>
    <w:p w14:paraId="27797199">
      <w:pPr>
        <w:widowControl w:val="0"/>
        <w:kinsoku/>
        <w:wordWrap w:val="0"/>
        <w:spacing w:line="460" w:lineRule="exact"/>
        <w:ind w:firstLine="460" w:firstLineChars="200"/>
        <w:rPr>
          <w:rFonts w:hint="eastAsia" w:ascii="宋体" w:hAnsi="宋体" w:eastAsia="宋体" w:cs="宋体"/>
          <w:b w:val="0"/>
          <w:bCs w:val="0"/>
          <w:color w:val="auto"/>
          <w:spacing w:val="-5"/>
          <w:lang w:val="en-US" w:eastAsia="zh-CN"/>
        </w:rPr>
      </w:pPr>
      <w:r>
        <w:rPr>
          <w:rFonts w:hint="eastAsia" w:ascii="宋体" w:hAnsi="宋体" w:eastAsia="宋体" w:cs="宋体"/>
          <w:b w:val="0"/>
          <w:bCs w:val="0"/>
          <w:color w:val="auto"/>
          <w:spacing w:val="-5"/>
          <w:lang w:val="en-US" w:eastAsia="zh-CN"/>
        </w:rPr>
        <w:t>（2）具有良好的商业信誉和健全的财务会计制度；</w:t>
      </w:r>
    </w:p>
    <w:p w14:paraId="748B66E6">
      <w:pPr>
        <w:widowControl w:val="0"/>
        <w:kinsoku/>
        <w:wordWrap w:val="0"/>
        <w:spacing w:line="460" w:lineRule="exact"/>
        <w:ind w:firstLine="460" w:firstLineChars="200"/>
        <w:rPr>
          <w:rFonts w:hint="eastAsia" w:ascii="宋体" w:hAnsi="宋体" w:eastAsia="宋体" w:cs="宋体"/>
          <w:b w:val="0"/>
          <w:bCs w:val="0"/>
          <w:color w:val="auto"/>
          <w:spacing w:val="-5"/>
          <w:lang w:val="en-US" w:eastAsia="zh-CN"/>
        </w:rPr>
      </w:pPr>
      <w:r>
        <w:rPr>
          <w:rFonts w:hint="eastAsia" w:ascii="宋体" w:hAnsi="宋体" w:eastAsia="宋体" w:cs="宋体"/>
          <w:b w:val="0"/>
          <w:bCs w:val="0"/>
          <w:color w:val="auto"/>
          <w:spacing w:val="-5"/>
          <w:lang w:val="en-US" w:eastAsia="zh-CN"/>
        </w:rPr>
        <w:t>（3）具有履行合同所必需的设备和专业技术能力；</w:t>
      </w:r>
    </w:p>
    <w:p w14:paraId="1A8CCF4B">
      <w:pPr>
        <w:widowControl w:val="0"/>
        <w:kinsoku/>
        <w:wordWrap w:val="0"/>
        <w:spacing w:line="460" w:lineRule="exact"/>
        <w:ind w:firstLine="460" w:firstLineChars="200"/>
        <w:rPr>
          <w:rFonts w:hint="eastAsia" w:ascii="宋体" w:hAnsi="宋体" w:eastAsia="宋体" w:cs="宋体"/>
          <w:b w:val="0"/>
          <w:bCs w:val="0"/>
          <w:color w:val="auto"/>
          <w:spacing w:val="-5"/>
          <w:lang w:val="en-US" w:eastAsia="zh-CN"/>
        </w:rPr>
      </w:pPr>
      <w:r>
        <w:rPr>
          <w:rFonts w:hint="eastAsia" w:ascii="宋体" w:hAnsi="宋体" w:eastAsia="宋体" w:cs="宋体"/>
          <w:b w:val="0"/>
          <w:bCs w:val="0"/>
          <w:color w:val="auto"/>
          <w:spacing w:val="-5"/>
          <w:lang w:val="en-US" w:eastAsia="zh-CN"/>
        </w:rPr>
        <w:t>（4）有依法缴纳税收和社会保障资金的良好记录；</w:t>
      </w:r>
    </w:p>
    <w:p w14:paraId="3B397040">
      <w:pPr>
        <w:widowControl w:val="0"/>
        <w:kinsoku/>
        <w:wordWrap w:val="0"/>
        <w:spacing w:line="460" w:lineRule="exact"/>
        <w:ind w:firstLine="460" w:firstLineChars="200"/>
        <w:rPr>
          <w:rFonts w:hint="eastAsia" w:ascii="宋体" w:hAnsi="宋体" w:eastAsia="宋体" w:cs="宋体"/>
          <w:b w:val="0"/>
          <w:bCs w:val="0"/>
          <w:color w:val="auto"/>
          <w:spacing w:val="-5"/>
          <w:lang w:val="en-US" w:eastAsia="zh-CN"/>
        </w:rPr>
      </w:pPr>
      <w:r>
        <w:rPr>
          <w:rFonts w:hint="eastAsia" w:ascii="宋体" w:hAnsi="宋体" w:eastAsia="宋体" w:cs="宋体"/>
          <w:b w:val="0"/>
          <w:bCs w:val="0"/>
          <w:color w:val="auto"/>
          <w:spacing w:val="-5"/>
          <w:lang w:val="en-US" w:eastAsia="zh-CN"/>
        </w:rPr>
        <w:t>（5）参加本次采购活动前三年内,在经营活动中没有重大违法记录；</w:t>
      </w:r>
    </w:p>
    <w:p w14:paraId="34066773">
      <w:pPr>
        <w:widowControl w:val="0"/>
        <w:kinsoku/>
        <w:wordWrap w:val="0"/>
        <w:spacing w:line="460" w:lineRule="exact"/>
        <w:ind w:firstLine="460" w:firstLineChars="200"/>
        <w:rPr>
          <w:rFonts w:hint="eastAsia" w:ascii="宋体" w:hAnsi="宋体" w:eastAsia="宋体" w:cs="宋体"/>
          <w:b w:val="0"/>
          <w:bCs w:val="0"/>
          <w:color w:val="auto"/>
          <w:spacing w:val="-5"/>
          <w:lang w:val="en-US" w:eastAsia="zh-CN"/>
        </w:rPr>
      </w:pPr>
      <w:r>
        <w:rPr>
          <w:rFonts w:hint="eastAsia" w:ascii="宋体" w:hAnsi="宋体" w:eastAsia="宋体" w:cs="宋体"/>
          <w:b w:val="0"/>
          <w:bCs w:val="0"/>
          <w:color w:val="auto"/>
          <w:spacing w:val="-5"/>
          <w:lang w:val="en-US" w:eastAsia="zh-CN"/>
        </w:rPr>
        <w:t>（6）法律、行政法规规定的其他条件。</w:t>
      </w:r>
    </w:p>
    <w:p w14:paraId="052D9D24">
      <w:pPr>
        <w:widowControl w:val="0"/>
        <w:kinsoku/>
        <w:wordWrap w:val="0"/>
        <w:spacing w:line="460" w:lineRule="exact"/>
        <w:ind w:firstLine="460" w:firstLineChars="200"/>
        <w:rPr>
          <w:rFonts w:hint="eastAsia" w:ascii="宋体" w:hAnsi="宋体" w:eastAsia="宋体" w:cs="宋体"/>
          <w:b w:val="0"/>
          <w:bCs w:val="0"/>
          <w:color w:val="auto"/>
          <w:spacing w:val="-5"/>
          <w:lang w:val="en-US" w:eastAsia="zh-CN"/>
        </w:rPr>
      </w:pPr>
      <w:r>
        <w:rPr>
          <w:rFonts w:hint="eastAsia" w:ascii="宋体" w:hAnsi="宋体" w:eastAsia="宋体" w:cs="宋体"/>
          <w:b w:val="0"/>
          <w:bCs w:val="0"/>
          <w:color w:val="auto"/>
          <w:spacing w:val="-5"/>
          <w:lang w:val="en-US" w:eastAsia="zh-CN"/>
        </w:rPr>
        <w:t>2.单位负责人为同一人或者存在直接控股、管理关系的不同供应商，不得参加同一合同项下的采购活动。为本项目提供整体设计、规范编制或者项目管理、监理、检测等服务的供应商不得参加本项目的采购活动。</w:t>
      </w:r>
    </w:p>
    <w:p w14:paraId="6EA85DDF">
      <w:pPr>
        <w:widowControl w:val="0"/>
        <w:kinsoku/>
        <w:wordWrap w:val="0"/>
        <w:spacing w:line="460" w:lineRule="exact"/>
        <w:ind w:firstLine="460" w:firstLineChars="200"/>
        <w:rPr>
          <w:rFonts w:hint="eastAsia" w:ascii="宋体" w:hAnsi="宋体" w:eastAsia="宋体" w:cs="宋体"/>
          <w:b w:val="0"/>
          <w:bCs w:val="0"/>
          <w:color w:val="auto"/>
          <w:spacing w:val="-5"/>
          <w:lang w:val="en-US" w:eastAsia="zh-CN"/>
        </w:rPr>
      </w:pPr>
      <w:r>
        <w:rPr>
          <w:rFonts w:hint="eastAsia" w:ascii="宋体" w:hAnsi="宋体" w:eastAsia="宋体" w:cs="宋体"/>
          <w:b w:val="0"/>
          <w:bCs w:val="0"/>
          <w:color w:val="auto"/>
          <w:spacing w:val="-5"/>
          <w:lang w:val="en-US" w:eastAsia="zh-CN"/>
        </w:rPr>
        <w:t>3.供应商被“信用中国”网站列入失信被执行人和重大税收违法案件当事人名单的、被“中国政府采购网”网站列入政府采购严重违法失信行为记录名单（处罚期限尚未届满的），不得参加本项目的采购活动。</w:t>
      </w:r>
    </w:p>
    <w:p w14:paraId="3134ECBE">
      <w:pPr>
        <w:widowControl w:val="0"/>
        <w:kinsoku/>
        <w:wordWrap w:val="0"/>
        <w:spacing w:line="460" w:lineRule="exact"/>
        <w:ind w:firstLine="460" w:firstLineChars="200"/>
        <w:rPr>
          <w:rFonts w:hint="eastAsia" w:ascii="宋体" w:hAnsi="宋体" w:eastAsia="宋体" w:cs="宋体"/>
          <w:b w:val="0"/>
          <w:bCs w:val="0"/>
          <w:color w:val="auto"/>
          <w:spacing w:val="-5"/>
          <w:lang w:val="en-US" w:eastAsia="zh-CN"/>
        </w:rPr>
      </w:pPr>
      <w:r>
        <w:rPr>
          <w:rFonts w:hint="eastAsia" w:ascii="宋体" w:hAnsi="宋体" w:eastAsia="宋体" w:cs="宋体"/>
          <w:b w:val="0"/>
          <w:bCs w:val="0"/>
          <w:color w:val="auto"/>
          <w:spacing w:val="-5"/>
          <w:lang w:val="en-US" w:eastAsia="zh-CN"/>
        </w:rPr>
        <w:t>4.本项目的特定资格：无。</w:t>
      </w:r>
    </w:p>
    <w:p w14:paraId="4C64032E">
      <w:pPr>
        <w:pStyle w:val="3"/>
        <w:keepNext/>
        <w:keepLines/>
        <w:pageBreakBefore w:val="0"/>
        <w:widowControl/>
        <w:kinsoku/>
        <w:wordWrap/>
        <w:overflowPunct/>
        <w:topLinePunct w:val="0"/>
        <w:autoSpaceDE w:val="0"/>
        <w:autoSpaceDN w:val="0"/>
        <w:bidi w:val="0"/>
        <w:adjustRightInd w:val="0"/>
        <w:snapToGrid w:val="0"/>
        <w:textAlignment w:val="baseline"/>
        <w:rPr>
          <w:rFonts w:hint="default"/>
          <w:b/>
          <w:bCs/>
          <w:lang w:val="en-US" w:eastAsia="zh-CN"/>
        </w:rPr>
      </w:pPr>
      <w:r>
        <w:rPr>
          <w:rFonts w:hint="eastAsia"/>
          <w:b/>
          <w:bCs/>
          <w:lang w:val="en-US" w:eastAsia="zh-CN"/>
        </w:rPr>
        <w:t>三、</w:t>
      </w:r>
      <w:bookmarkEnd w:id="4"/>
      <w:bookmarkEnd w:id="5"/>
      <w:bookmarkEnd w:id="6"/>
      <w:bookmarkEnd w:id="7"/>
      <w:bookmarkEnd w:id="8"/>
      <w:r>
        <w:rPr>
          <w:rFonts w:hint="eastAsia"/>
          <w:b/>
          <w:bCs/>
          <w:lang w:val="en-US" w:eastAsia="zh-CN"/>
        </w:rPr>
        <w:t>采购需求</w:t>
      </w:r>
    </w:p>
    <w:p w14:paraId="7804AD96">
      <w:pPr>
        <w:keepNext w:val="0"/>
        <w:keepLines w:val="0"/>
        <w:pageBreakBefore w:val="0"/>
        <w:widowControl w:val="0"/>
        <w:kinsoku w:val="0"/>
        <w:wordWrap/>
        <w:overflowPunct/>
        <w:topLinePunct w:val="0"/>
        <w:autoSpaceDE w:val="0"/>
        <w:autoSpaceDN w:val="0"/>
        <w:bidi w:val="0"/>
        <w:adjustRightInd w:val="0"/>
        <w:snapToGrid w:val="0"/>
        <w:spacing w:before="78" w:line="219" w:lineRule="auto"/>
        <w:ind w:firstLine="478" w:firstLineChars="200"/>
        <w:textAlignment w:val="baseline"/>
        <w:rPr>
          <w:rFonts w:hint="default" w:ascii="宋体" w:hAnsi="宋体" w:eastAsia="宋体" w:cs="宋体"/>
          <w:b/>
          <w:bCs/>
          <w:color w:val="auto"/>
          <w:sz w:val="24"/>
          <w:szCs w:val="24"/>
          <w:lang w:val="en-US" w:eastAsia="zh-CN"/>
        </w:rPr>
      </w:pPr>
      <w:bookmarkStart w:id="9" w:name="_Toc1050"/>
      <w:bookmarkStart w:id="10" w:name="_Toc11777"/>
      <w:bookmarkStart w:id="11" w:name="_Toc26511"/>
      <w:bookmarkStart w:id="12" w:name="_Toc3907"/>
      <w:bookmarkStart w:id="13" w:name="_Toc4621"/>
      <w:r>
        <w:rPr>
          <w:rFonts w:ascii="宋体" w:hAnsi="宋体" w:eastAsia="宋体" w:cs="宋体"/>
          <w:b/>
          <w:bCs/>
          <w:color w:val="auto"/>
          <w:sz w:val="24"/>
          <w:szCs w:val="24"/>
        </w:rPr>
        <w:t>（一）</w:t>
      </w:r>
      <w:r>
        <w:rPr>
          <w:rFonts w:hint="eastAsia" w:ascii="宋体" w:hAnsi="宋体" w:cs="宋体"/>
          <w:b/>
          <w:bCs/>
          <w:color w:val="auto"/>
          <w:sz w:val="24"/>
          <w:szCs w:val="24"/>
          <w:lang w:val="en-US" w:eastAsia="zh-CN"/>
        </w:rPr>
        <w:t>采购清单</w:t>
      </w:r>
    </w:p>
    <w:tbl>
      <w:tblPr>
        <w:tblStyle w:val="2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6"/>
        <w:gridCol w:w="1322"/>
        <w:gridCol w:w="4029"/>
        <w:gridCol w:w="2063"/>
        <w:gridCol w:w="1345"/>
      </w:tblGrid>
      <w:tr w14:paraId="40C96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6361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E93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节点</w:t>
            </w:r>
          </w:p>
        </w:tc>
        <w:tc>
          <w:tcPr>
            <w:tcW w:w="38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0C73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19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39A8C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规格尺寸</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（cm)</w:t>
            </w:r>
          </w:p>
        </w:tc>
        <w:tc>
          <w:tcPr>
            <w:tcW w:w="13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2AC9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数量/单位</w:t>
            </w:r>
          </w:p>
        </w:tc>
      </w:tr>
      <w:tr w14:paraId="2377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722" w:type="dxa"/>
            <w:vMerge w:val="restart"/>
            <w:tcBorders>
              <w:top w:val="single" w:color="000000" w:sz="4" w:space="0"/>
              <w:left w:val="single" w:color="000000" w:sz="4" w:space="0"/>
              <w:right w:val="single" w:color="000000" w:sz="4" w:space="0"/>
            </w:tcBorders>
            <w:shd w:val="clear" w:color="auto" w:fill="FFFFFF"/>
            <w:noWrap/>
            <w:vAlign w:val="center"/>
          </w:tcPr>
          <w:p w14:paraId="1FA9AD1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c>
          <w:tcPr>
            <w:tcW w:w="1279" w:type="dxa"/>
            <w:vMerge w:val="restart"/>
            <w:tcBorders>
              <w:top w:val="single" w:color="000000" w:sz="4" w:space="0"/>
              <w:left w:val="single" w:color="000000" w:sz="4" w:space="0"/>
              <w:right w:val="single" w:color="000000" w:sz="4" w:space="0"/>
            </w:tcBorders>
            <w:shd w:val="clear" w:color="auto" w:fill="auto"/>
            <w:noWrap/>
            <w:vAlign w:val="center"/>
          </w:tcPr>
          <w:p w14:paraId="103D8F4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毓德窗</w:t>
            </w:r>
          </w:p>
        </w:tc>
        <w:tc>
          <w:tcPr>
            <w:tcW w:w="38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B876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定制“毓德窗”文化景观主体造型</w:t>
            </w:r>
          </w:p>
        </w:tc>
        <w:tc>
          <w:tcPr>
            <w:tcW w:w="19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051B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900*260*40</w:t>
            </w:r>
          </w:p>
        </w:tc>
        <w:tc>
          <w:tcPr>
            <w:tcW w:w="13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07F5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1项</w:t>
            </w:r>
          </w:p>
        </w:tc>
      </w:tr>
      <w:tr w14:paraId="36DF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722" w:type="dxa"/>
            <w:vMerge w:val="continue"/>
            <w:tcBorders>
              <w:left w:val="single" w:color="000000" w:sz="4" w:space="0"/>
              <w:right w:val="single" w:color="000000" w:sz="4" w:space="0"/>
            </w:tcBorders>
            <w:shd w:val="clear" w:color="auto" w:fill="FFFFFF"/>
            <w:noWrap/>
            <w:vAlign w:val="center"/>
          </w:tcPr>
          <w:p w14:paraId="2EBDACC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279" w:type="dxa"/>
            <w:vMerge w:val="continue"/>
            <w:tcBorders>
              <w:left w:val="single" w:color="000000" w:sz="4" w:space="0"/>
              <w:right w:val="single" w:color="000000" w:sz="4" w:space="0"/>
            </w:tcBorders>
            <w:shd w:val="clear" w:color="auto" w:fill="auto"/>
            <w:noWrap/>
            <w:vAlign w:val="center"/>
          </w:tcPr>
          <w:p w14:paraId="2E2F32C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38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0526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定制“毓德窗”文化宣传橱窗</w:t>
            </w:r>
          </w:p>
        </w:tc>
        <w:tc>
          <w:tcPr>
            <w:tcW w:w="19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B1BEC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300*150</w:t>
            </w:r>
          </w:p>
        </w:tc>
        <w:tc>
          <w:tcPr>
            <w:tcW w:w="13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AB40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4.5㎡</w:t>
            </w:r>
          </w:p>
        </w:tc>
      </w:tr>
      <w:tr w14:paraId="5A489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22" w:type="dxa"/>
            <w:vMerge w:val="continue"/>
            <w:tcBorders>
              <w:left w:val="single" w:color="000000" w:sz="4" w:space="0"/>
              <w:bottom w:val="single" w:color="000000" w:sz="4" w:space="0"/>
              <w:right w:val="single" w:color="000000" w:sz="4" w:space="0"/>
            </w:tcBorders>
            <w:shd w:val="clear" w:color="auto" w:fill="FFFFFF"/>
            <w:noWrap/>
            <w:vAlign w:val="center"/>
          </w:tcPr>
          <w:p w14:paraId="1F1A135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279" w:type="dxa"/>
            <w:vMerge w:val="continue"/>
            <w:tcBorders>
              <w:left w:val="single" w:color="000000" w:sz="4" w:space="0"/>
              <w:bottom w:val="single" w:color="000000" w:sz="4" w:space="0"/>
              <w:right w:val="single" w:color="000000" w:sz="4" w:space="0"/>
            </w:tcBorders>
            <w:shd w:val="clear" w:color="auto" w:fill="auto"/>
            <w:noWrap/>
            <w:vAlign w:val="center"/>
          </w:tcPr>
          <w:p w14:paraId="4E81C8B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38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0279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定制3D立体造型字</w:t>
            </w:r>
          </w:p>
        </w:tc>
        <w:tc>
          <w:tcPr>
            <w:tcW w:w="19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D609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25*25</w:t>
            </w:r>
          </w:p>
        </w:tc>
        <w:tc>
          <w:tcPr>
            <w:tcW w:w="13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9895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3个</w:t>
            </w:r>
          </w:p>
        </w:tc>
      </w:tr>
      <w:tr w14:paraId="084AB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EBAA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A51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育贤坪</w:t>
            </w:r>
          </w:p>
        </w:tc>
        <w:tc>
          <w:tcPr>
            <w:tcW w:w="38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B4F2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“习语金句”文化艺术景观</w:t>
            </w:r>
          </w:p>
        </w:tc>
        <w:tc>
          <w:tcPr>
            <w:tcW w:w="19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4F0E7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600*295</w:t>
            </w:r>
          </w:p>
        </w:tc>
        <w:tc>
          <w:tcPr>
            <w:tcW w:w="13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90CE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1项</w:t>
            </w:r>
          </w:p>
        </w:tc>
      </w:tr>
      <w:tr w14:paraId="61D6E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722" w:type="dxa"/>
            <w:vMerge w:val="restart"/>
            <w:tcBorders>
              <w:top w:val="single" w:color="000000" w:sz="4" w:space="0"/>
              <w:left w:val="single" w:color="000000" w:sz="4" w:space="0"/>
              <w:bottom w:val="nil"/>
              <w:right w:val="single" w:color="000000" w:sz="4" w:space="0"/>
            </w:tcBorders>
            <w:shd w:val="clear" w:color="auto" w:fill="FFFFFF"/>
            <w:noWrap/>
            <w:vAlign w:val="center"/>
          </w:tcPr>
          <w:p w14:paraId="045F683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w:t>
            </w:r>
          </w:p>
        </w:tc>
        <w:tc>
          <w:tcPr>
            <w:tcW w:w="1279" w:type="dxa"/>
            <w:vMerge w:val="restart"/>
            <w:tcBorders>
              <w:top w:val="single" w:color="000000" w:sz="4" w:space="0"/>
              <w:left w:val="single" w:color="000000" w:sz="4" w:space="0"/>
              <w:bottom w:val="nil"/>
              <w:right w:val="single" w:color="000000" w:sz="4" w:space="0"/>
            </w:tcBorders>
            <w:shd w:val="clear" w:color="auto" w:fill="auto"/>
            <w:noWrap w:val="0"/>
            <w:vAlign w:val="center"/>
          </w:tcPr>
          <w:p w14:paraId="187EBBB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红蓝</w:t>
            </w:r>
            <w:r>
              <w:rPr>
                <w:rFonts w:hint="eastAsia" w:ascii="宋体" w:hAnsi="宋体" w:eastAsia="宋体" w:cs="宋体"/>
                <w:b w:val="0"/>
                <w:bCs w:val="0"/>
                <w:i w:val="0"/>
                <w:iCs w:val="0"/>
                <w:color w:val="auto"/>
                <w:kern w:val="0"/>
                <w:sz w:val="24"/>
                <w:szCs w:val="24"/>
                <w:u w:val="none"/>
                <w:lang w:val="en-US" w:eastAsia="zh-CN" w:bidi="ar"/>
              </w:rPr>
              <w:t>园</w:t>
            </w:r>
          </w:p>
        </w:tc>
        <w:tc>
          <w:tcPr>
            <w:tcW w:w="38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5E240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塑木地面铺装</w:t>
            </w:r>
          </w:p>
        </w:tc>
        <w:tc>
          <w:tcPr>
            <w:tcW w:w="19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A9E7B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1400*1400</w:t>
            </w:r>
          </w:p>
        </w:tc>
        <w:tc>
          <w:tcPr>
            <w:tcW w:w="13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ED1E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w:t>
            </w:r>
          </w:p>
        </w:tc>
      </w:tr>
      <w:tr w14:paraId="2074C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2"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59F92DE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i w:val="0"/>
                <w:iCs w:val="0"/>
                <w:color w:val="000000"/>
                <w:sz w:val="24"/>
                <w:szCs w:val="24"/>
                <w:u w:val="none"/>
              </w:rPr>
            </w:pPr>
          </w:p>
        </w:tc>
        <w:tc>
          <w:tcPr>
            <w:tcW w:w="1279"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6BEC147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i w:val="0"/>
                <w:iCs w:val="0"/>
                <w:color w:val="auto"/>
                <w:sz w:val="24"/>
                <w:szCs w:val="24"/>
                <w:u w:val="none"/>
              </w:rPr>
            </w:pPr>
          </w:p>
        </w:tc>
        <w:tc>
          <w:tcPr>
            <w:tcW w:w="38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58C8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定制“</w:t>
            </w:r>
            <w:r>
              <w:rPr>
                <w:rFonts w:hint="eastAsia" w:ascii="宋体" w:hAnsi="宋体" w:cs="宋体"/>
                <w:b w:val="0"/>
                <w:bCs w:val="0"/>
                <w:i w:val="0"/>
                <w:iCs w:val="0"/>
                <w:color w:val="auto"/>
                <w:kern w:val="0"/>
                <w:sz w:val="24"/>
                <w:szCs w:val="24"/>
                <w:u w:val="none"/>
                <w:lang w:val="en-US" w:eastAsia="zh-CN" w:bidi="ar"/>
              </w:rPr>
              <w:t>红蓝园</w:t>
            </w:r>
            <w:r>
              <w:rPr>
                <w:rFonts w:hint="eastAsia" w:ascii="宋体" w:hAnsi="宋体" w:eastAsia="宋体" w:cs="宋体"/>
                <w:b w:val="0"/>
                <w:bCs w:val="0"/>
                <w:i w:val="0"/>
                <w:iCs w:val="0"/>
                <w:color w:val="auto"/>
                <w:kern w:val="0"/>
                <w:sz w:val="24"/>
                <w:szCs w:val="24"/>
                <w:u w:val="none"/>
                <w:lang w:val="en-US" w:eastAsia="zh-CN" w:bidi="ar"/>
              </w:rPr>
              <w:t>”文化艺术景观底座</w:t>
            </w:r>
          </w:p>
        </w:tc>
        <w:tc>
          <w:tcPr>
            <w:tcW w:w="19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9BFC9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350*200*80</w:t>
            </w:r>
          </w:p>
        </w:tc>
        <w:tc>
          <w:tcPr>
            <w:tcW w:w="13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0904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1项</w:t>
            </w:r>
          </w:p>
        </w:tc>
      </w:tr>
      <w:tr w14:paraId="602F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722"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47E1E43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i w:val="0"/>
                <w:iCs w:val="0"/>
                <w:color w:val="000000"/>
                <w:sz w:val="24"/>
                <w:szCs w:val="24"/>
                <w:u w:val="none"/>
              </w:rPr>
            </w:pPr>
          </w:p>
        </w:tc>
        <w:tc>
          <w:tcPr>
            <w:tcW w:w="1279" w:type="dxa"/>
            <w:vMerge w:val="continue"/>
            <w:tcBorders>
              <w:top w:val="single" w:color="000000" w:sz="4" w:space="0"/>
              <w:left w:val="single" w:color="000000" w:sz="4" w:space="0"/>
              <w:bottom w:val="nil"/>
              <w:right w:val="single" w:color="000000" w:sz="4" w:space="0"/>
            </w:tcBorders>
            <w:noWrap w:val="0"/>
            <w:vAlign w:val="center"/>
          </w:tcPr>
          <w:p w14:paraId="0390395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i w:val="0"/>
                <w:iCs w:val="0"/>
                <w:color w:val="auto"/>
                <w:sz w:val="24"/>
                <w:szCs w:val="24"/>
                <w:u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0753B13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定制“</w:t>
            </w:r>
            <w:r>
              <w:rPr>
                <w:rFonts w:hint="eastAsia" w:ascii="宋体" w:hAnsi="宋体" w:cs="宋体"/>
                <w:b w:val="0"/>
                <w:bCs w:val="0"/>
                <w:i w:val="0"/>
                <w:iCs w:val="0"/>
                <w:color w:val="auto"/>
                <w:kern w:val="0"/>
                <w:sz w:val="24"/>
                <w:szCs w:val="24"/>
                <w:u w:val="none"/>
                <w:lang w:val="en-US" w:eastAsia="zh-CN" w:bidi="ar"/>
              </w:rPr>
              <w:t>红蓝园</w:t>
            </w:r>
            <w:r>
              <w:rPr>
                <w:rFonts w:hint="eastAsia" w:ascii="宋体" w:hAnsi="宋体" w:eastAsia="宋体" w:cs="宋体"/>
                <w:b w:val="0"/>
                <w:bCs w:val="0"/>
                <w:i w:val="0"/>
                <w:iCs w:val="0"/>
                <w:color w:val="auto"/>
                <w:kern w:val="0"/>
                <w:sz w:val="24"/>
                <w:szCs w:val="24"/>
                <w:u w:val="none"/>
                <w:lang w:val="en-US" w:eastAsia="zh-CN" w:bidi="ar"/>
              </w:rPr>
              <w:t>”文化艺术景观立体造型字</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1491EB7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120*120</w:t>
            </w:r>
          </w:p>
        </w:tc>
        <w:tc>
          <w:tcPr>
            <w:tcW w:w="1302" w:type="dxa"/>
            <w:tcBorders>
              <w:top w:val="single" w:color="000000" w:sz="4" w:space="0"/>
              <w:left w:val="single" w:color="000000" w:sz="4" w:space="0"/>
              <w:bottom w:val="single" w:color="000000" w:sz="4" w:space="0"/>
              <w:right w:val="single" w:color="000000" w:sz="4" w:space="0"/>
            </w:tcBorders>
            <w:noWrap/>
            <w:vAlign w:val="center"/>
          </w:tcPr>
          <w:p w14:paraId="0339F60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3个</w:t>
            </w:r>
          </w:p>
        </w:tc>
      </w:tr>
      <w:tr w14:paraId="668A0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722"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0E26CE9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i w:val="0"/>
                <w:iCs w:val="0"/>
                <w:color w:val="000000"/>
                <w:sz w:val="24"/>
                <w:szCs w:val="24"/>
                <w:u w:val="none"/>
              </w:rPr>
            </w:pPr>
          </w:p>
        </w:tc>
        <w:tc>
          <w:tcPr>
            <w:tcW w:w="1279" w:type="dxa"/>
            <w:vMerge w:val="continue"/>
            <w:tcBorders>
              <w:top w:val="single" w:color="000000" w:sz="4" w:space="0"/>
              <w:left w:val="single" w:color="000000" w:sz="4" w:space="0"/>
              <w:bottom w:val="nil"/>
              <w:right w:val="single" w:color="000000" w:sz="4" w:space="0"/>
            </w:tcBorders>
            <w:noWrap w:val="0"/>
            <w:vAlign w:val="center"/>
          </w:tcPr>
          <w:p w14:paraId="5A5C143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i w:val="0"/>
                <w:iCs w:val="0"/>
                <w:color w:val="auto"/>
                <w:sz w:val="24"/>
                <w:szCs w:val="24"/>
                <w:u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6F3449B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定制“</w:t>
            </w:r>
            <w:r>
              <w:rPr>
                <w:rFonts w:hint="eastAsia" w:ascii="宋体" w:hAnsi="宋体" w:cs="宋体"/>
                <w:b w:val="0"/>
                <w:bCs w:val="0"/>
                <w:i w:val="0"/>
                <w:iCs w:val="0"/>
                <w:color w:val="auto"/>
                <w:kern w:val="0"/>
                <w:sz w:val="24"/>
                <w:szCs w:val="24"/>
                <w:u w:val="none"/>
                <w:lang w:val="en-US" w:eastAsia="zh-CN" w:bidi="ar"/>
              </w:rPr>
              <w:t>红蓝园</w:t>
            </w:r>
            <w:r>
              <w:rPr>
                <w:rFonts w:hint="eastAsia" w:ascii="宋体" w:hAnsi="宋体" w:eastAsia="宋体" w:cs="宋体"/>
                <w:b w:val="0"/>
                <w:bCs w:val="0"/>
                <w:i w:val="0"/>
                <w:iCs w:val="0"/>
                <w:color w:val="auto"/>
                <w:kern w:val="0"/>
                <w:sz w:val="24"/>
                <w:szCs w:val="24"/>
                <w:u w:val="none"/>
                <w:lang w:val="en-US" w:eastAsia="zh-CN" w:bidi="ar"/>
              </w:rPr>
              <w:t>”文化艺术景观主体框架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3E75F5C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3200*300*80</w:t>
            </w:r>
          </w:p>
        </w:tc>
        <w:tc>
          <w:tcPr>
            <w:tcW w:w="1302" w:type="dxa"/>
            <w:tcBorders>
              <w:top w:val="single" w:color="000000" w:sz="4" w:space="0"/>
              <w:left w:val="single" w:color="000000" w:sz="4" w:space="0"/>
              <w:bottom w:val="single" w:color="000000" w:sz="4" w:space="0"/>
              <w:right w:val="single" w:color="000000" w:sz="4" w:space="0"/>
            </w:tcBorders>
            <w:noWrap/>
            <w:vAlign w:val="center"/>
          </w:tcPr>
          <w:p w14:paraId="6625218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1项</w:t>
            </w:r>
          </w:p>
        </w:tc>
      </w:tr>
      <w:tr w14:paraId="2584B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722" w:type="dxa"/>
            <w:vMerge w:val="restart"/>
            <w:tcBorders>
              <w:top w:val="single" w:color="000000" w:sz="4" w:space="0"/>
              <w:left w:val="single" w:color="000000" w:sz="4" w:space="0"/>
              <w:bottom w:val="nil"/>
              <w:right w:val="single" w:color="000000" w:sz="4" w:space="0"/>
            </w:tcBorders>
            <w:shd w:val="clear" w:color="auto" w:fill="FFFFFF"/>
            <w:noWrap/>
            <w:vAlign w:val="center"/>
          </w:tcPr>
          <w:p w14:paraId="08A4814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1279" w:type="dxa"/>
            <w:vMerge w:val="restart"/>
            <w:tcBorders>
              <w:top w:val="single" w:color="000000" w:sz="4" w:space="0"/>
              <w:left w:val="single" w:color="000000" w:sz="4" w:space="0"/>
              <w:bottom w:val="nil"/>
              <w:right w:val="single" w:color="000000" w:sz="4" w:space="0"/>
            </w:tcBorders>
            <w:noWrap w:val="0"/>
            <w:vAlign w:val="center"/>
          </w:tcPr>
          <w:p w14:paraId="3669261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红医园</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6A9293A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定制红医精神景观装置造型</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5AC2DD4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200*150*150</w:t>
            </w:r>
          </w:p>
        </w:tc>
        <w:tc>
          <w:tcPr>
            <w:tcW w:w="1302" w:type="dxa"/>
            <w:tcBorders>
              <w:top w:val="single" w:color="000000" w:sz="4" w:space="0"/>
              <w:left w:val="single" w:color="000000" w:sz="4" w:space="0"/>
              <w:bottom w:val="single" w:color="000000" w:sz="4" w:space="0"/>
              <w:right w:val="single" w:color="000000" w:sz="4" w:space="0"/>
            </w:tcBorders>
            <w:noWrap/>
            <w:vAlign w:val="center"/>
          </w:tcPr>
          <w:p w14:paraId="0B8CCAD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1项</w:t>
            </w:r>
          </w:p>
        </w:tc>
      </w:tr>
      <w:tr w14:paraId="3E127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722"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472AE6F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i w:val="0"/>
                <w:iCs w:val="0"/>
                <w:color w:val="000000"/>
                <w:sz w:val="24"/>
                <w:szCs w:val="24"/>
                <w:u w:val="none"/>
              </w:rPr>
            </w:pPr>
          </w:p>
        </w:tc>
        <w:tc>
          <w:tcPr>
            <w:tcW w:w="1279" w:type="dxa"/>
            <w:vMerge w:val="continue"/>
            <w:tcBorders>
              <w:top w:val="single" w:color="000000" w:sz="4" w:space="0"/>
              <w:left w:val="single" w:color="000000" w:sz="4" w:space="0"/>
              <w:bottom w:val="nil"/>
              <w:right w:val="single" w:color="000000" w:sz="4" w:space="0"/>
            </w:tcBorders>
            <w:noWrap w:val="0"/>
            <w:vAlign w:val="center"/>
          </w:tcPr>
          <w:p w14:paraId="4ADADAB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i w:val="0"/>
                <w:iCs w:val="0"/>
                <w:color w:val="000000"/>
                <w:sz w:val="24"/>
                <w:szCs w:val="24"/>
                <w:u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5BDEA80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定制“红医园”文化景观装置</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0BFA020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150*100*80</w:t>
            </w:r>
          </w:p>
        </w:tc>
        <w:tc>
          <w:tcPr>
            <w:tcW w:w="1302" w:type="dxa"/>
            <w:tcBorders>
              <w:top w:val="single" w:color="000000" w:sz="4" w:space="0"/>
              <w:left w:val="single" w:color="000000" w:sz="4" w:space="0"/>
              <w:bottom w:val="single" w:color="000000" w:sz="4" w:space="0"/>
              <w:right w:val="single" w:color="000000" w:sz="4" w:space="0"/>
            </w:tcBorders>
            <w:noWrap/>
            <w:vAlign w:val="center"/>
          </w:tcPr>
          <w:p w14:paraId="5014E1A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10个</w:t>
            </w:r>
          </w:p>
        </w:tc>
      </w:tr>
      <w:tr w14:paraId="4815D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22"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102DB66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i w:val="0"/>
                <w:iCs w:val="0"/>
                <w:color w:val="000000"/>
                <w:sz w:val="24"/>
                <w:szCs w:val="24"/>
                <w:u w:val="none"/>
              </w:rPr>
            </w:pPr>
          </w:p>
        </w:tc>
        <w:tc>
          <w:tcPr>
            <w:tcW w:w="1279"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00AF78C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i w:val="0"/>
                <w:iCs w:val="0"/>
                <w:color w:val="000000"/>
                <w:sz w:val="24"/>
                <w:szCs w:val="24"/>
                <w:u w:val="none"/>
              </w:rPr>
            </w:pPr>
          </w:p>
        </w:tc>
        <w:tc>
          <w:tcPr>
            <w:tcW w:w="38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98055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定制“红医园”五角星景观造型</w:t>
            </w:r>
          </w:p>
        </w:tc>
        <w:tc>
          <w:tcPr>
            <w:tcW w:w="19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7EAA8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10*60*260</w:t>
            </w:r>
          </w:p>
        </w:tc>
        <w:tc>
          <w:tcPr>
            <w:tcW w:w="13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F815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3个</w:t>
            </w:r>
          </w:p>
        </w:tc>
      </w:tr>
      <w:tr w14:paraId="4FD80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22"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2BD2045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i w:val="0"/>
                <w:iCs w:val="0"/>
                <w:color w:val="000000"/>
                <w:sz w:val="24"/>
                <w:szCs w:val="24"/>
                <w:u w:val="none"/>
              </w:rPr>
            </w:pPr>
          </w:p>
        </w:tc>
        <w:tc>
          <w:tcPr>
            <w:tcW w:w="1279"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437F593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i w:val="0"/>
                <w:iCs w:val="0"/>
                <w:color w:val="000000"/>
                <w:sz w:val="24"/>
                <w:szCs w:val="24"/>
                <w:u w:val="none"/>
              </w:rPr>
            </w:pPr>
          </w:p>
        </w:tc>
        <w:tc>
          <w:tcPr>
            <w:tcW w:w="38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9DE73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定制“红医园”文化景观主体框架</w:t>
            </w:r>
          </w:p>
        </w:tc>
        <w:tc>
          <w:tcPr>
            <w:tcW w:w="19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05733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3200*300*80</w:t>
            </w:r>
          </w:p>
        </w:tc>
        <w:tc>
          <w:tcPr>
            <w:tcW w:w="13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B3D1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1项</w:t>
            </w:r>
          </w:p>
        </w:tc>
      </w:tr>
      <w:tr w14:paraId="7460C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2" w:type="dxa"/>
            <w:tcBorders>
              <w:top w:val="single" w:color="000000" w:sz="4" w:space="0"/>
              <w:left w:val="single" w:color="000000" w:sz="4" w:space="0"/>
              <w:bottom w:val="nil"/>
              <w:right w:val="single" w:color="000000" w:sz="4" w:space="0"/>
            </w:tcBorders>
            <w:shd w:val="clear" w:color="auto" w:fill="FFFFFF"/>
            <w:noWrap/>
            <w:vAlign w:val="center"/>
          </w:tcPr>
          <w:p w14:paraId="2BA5B5A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w:t>
            </w:r>
          </w:p>
        </w:tc>
        <w:tc>
          <w:tcPr>
            <w:tcW w:w="1279" w:type="dxa"/>
            <w:tcBorders>
              <w:top w:val="single" w:color="000000" w:sz="4" w:space="0"/>
              <w:left w:val="single" w:color="000000" w:sz="4" w:space="0"/>
              <w:bottom w:val="nil"/>
              <w:right w:val="single" w:color="000000" w:sz="4" w:space="0"/>
            </w:tcBorders>
            <w:noWrap w:val="0"/>
            <w:vAlign w:val="center"/>
          </w:tcPr>
          <w:p w14:paraId="787EF1F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家书林</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6AE0EF3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家书林“红色家书”文化艺术景观</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373E58B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150*80*120</w:t>
            </w:r>
          </w:p>
        </w:tc>
        <w:tc>
          <w:tcPr>
            <w:tcW w:w="1302" w:type="dxa"/>
            <w:tcBorders>
              <w:top w:val="single" w:color="000000" w:sz="4" w:space="0"/>
              <w:left w:val="single" w:color="000000" w:sz="4" w:space="0"/>
              <w:bottom w:val="single" w:color="000000" w:sz="4" w:space="0"/>
              <w:right w:val="single" w:color="000000" w:sz="4" w:space="0"/>
            </w:tcBorders>
            <w:noWrap/>
            <w:vAlign w:val="center"/>
          </w:tcPr>
          <w:p w14:paraId="66669B1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6组</w:t>
            </w:r>
          </w:p>
        </w:tc>
      </w:tr>
      <w:tr w14:paraId="4C23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722" w:type="dxa"/>
            <w:tcBorders>
              <w:top w:val="single" w:color="000000" w:sz="4" w:space="0"/>
              <w:left w:val="single" w:color="000000" w:sz="4" w:space="0"/>
              <w:bottom w:val="nil"/>
              <w:right w:val="single" w:color="000000" w:sz="4" w:space="0"/>
            </w:tcBorders>
            <w:shd w:val="clear" w:color="auto" w:fill="FFFFFF"/>
            <w:noWrap/>
            <w:vAlign w:val="center"/>
          </w:tcPr>
          <w:p w14:paraId="598FAC8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w:t>
            </w:r>
          </w:p>
        </w:tc>
        <w:tc>
          <w:tcPr>
            <w:tcW w:w="1279" w:type="dxa"/>
            <w:tcBorders>
              <w:top w:val="single" w:color="000000" w:sz="4" w:space="0"/>
              <w:left w:val="single" w:color="000000" w:sz="4" w:space="0"/>
              <w:bottom w:val="nil"/>
              <w:right w:val="single" w:color="000000" w:sz="4" w:space="0"/>
            </w:tcBorders>
            <w:noWrap w:val="0"/>
            <w:vAlign w:val="center"/>
          </w:tcPr>
          <w:p w14:paraId="4690245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薪火传承广场</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21F9C46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“精神谱系”文化艺术景观</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1578C8B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80*80*180</w:t>
            </w:r>
          </w:p>
        </w:tc>
        <w:tc>
          <w:tcPr>
            <w:tcW w:w="1302" w:type="dxa"/>
            <w:tcBorders>
              <w:top w:val="single" w:color="000000" w:sz="4" w:space="0"/>
              <w:left w:val="single" w:color="000000" w:sz="4" w:space="0"/>
              <w:bottom w:val="single" w:color="000000" w:sz="4" w:space="0"/>
              <w:right w:val="single" w:color="000000" w:sz="4" w:space="0"/>
            </w:tcBorders>
            <w:noWrap/>
            <w:vAlign w:val="center"/>
          </w:tcPr>
          <w:p w14:paraId="7C5079A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6组</w:t>
            </w:r>
          </w:p>
        </w:tc>
      </w:tr>
      <w:tr w14:paraId="6B348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2" w:type="dxa"/>
            <w:vMerge w:val="restart"/>
            <w:tcBorders>
              <w:top w:val="single" w:color="000000" w:sz="4" w:space="0"/>
              <w:left w:val="single" w:color="000000" w:sz="4" w:space="0"/>
              <w:bottom w:val="nil"/>
              <w:right w:val="single" w:color="000000" w:sz="4" w:space="0"/>
            </w:tcBorders>
            <w:shd w:val="clear" w:color="auto" w:fill="FFFFFF"/>
            <w:noWrap/>
            <w:vAlign w:val="center"/>
          </w:tcPr>
          <w:p w14:paraId="1EED38D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1279" w:type="dxa"/>
            <w:vMerge w:val="restart"/>
            <w:tcBorders>
              <w:top w:val="single" w:color="000000" w:sz="4" w:space="0"/>
              <w:left w:val="single" w:color="000000" w:sz="4" w:space="0"/>
              <w:bottom w:val="nil"/>
              <w:right w:val="single" w:color="000000" w:sz="4" w:space="0"/>
            </w:tcBorders>
            <w:noWrap w:val="0"/>
            <w:vAlign w:val="center"/>
          </w:tcPr>
          <w:p w14:paraId="7132236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丹曦廊</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1EE72B7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定制“丹曦廊”文化景观主体框</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6DE3CE5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1200*80*260</w:t>
            </w:r>
          </w:p>
        </w:tc>
        <w:tc>
          <w:tcPr>
            <w:tcW w:w="1302" w:type="dxa"/>
            <w:tcBorders>
              <w:top w:val="single" w:color="000000" w:sz="4" w:space="0"/>
              <w:left w:val="single" w:color="000000" w:sz="4" w:space="0"/>
              <w:bottom w:val="single" w:color="000000" w:sz="4" w:space="0"/>
              <w:right w:val="single" w:color="000000" w:sz="4" w:space="0"/>
            </w:tcBorders>
            <w:noWrap/>
            <w:vAlign w:val="center"/>
          </w:tcPr>
          <w:p w14:paraId="1B99637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2组</w:t>
            </w:r>
          </w:p>
        </w:tc>
      </w:tr>
      <w:tr w14:paraId="7D3EE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722"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312E921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i w:val="0"/>
                <w:iCs w:val="0"/>
                <w:color w:val="000000"/>
                <w:sz w:val="24"/>
                <w:szCs w:val="24"/>
                <w:u w:val="none"/>
              </w:rPr>
            </w:pPr>
          </w:p>
        </w:tc>
        <w:tc>
          <w:tcPr>
            <w:tcW w:w="1279" w:type="dxa"/>
            <w:vMerge w:val="continue"/>
            <w:tcBorders>
              <w:top w:val="single" w:color="000000" w:sz="4" w:space="0"/>
              <w:left w:val="single" w:color="000000" w:sz="4" w:space="0"/>
              <w:bottom w:val="nil"/>
              <w:right w:val="single" w:color="000000" w:sz="4" w:space="0"/>
            </w:tcBorders>
            <w:noWrap w:val="0"/>
            <w:vAlign w:val="center"/>
          </w:tcPr>
          <w:p w14:paraId="0F98BFB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i w:val="0"/>
                <w:iCs w:val="0"/>
                <w:color w:val="000000"/>
                <w:sz w:val="24"/>
                <w:szCs w:val="24"/>
                <w:u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538A9AF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定制“丹曦廊”文化景观座椅</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133B614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200*50*70</w:t>
            </w:r>
          </w:p>
        </w:tc>
        <w:tc>
          <w:tcPr>
            <w:tcW w:w="1302" w:type="dxa"/>
            <w:tcBorders>
              <w:top w:val="single" w:color="000000" w:sz="4" w:space="0"/>
              <w:left w:val="single" w:color="000000" w:sz="4" w:space="0"/>
              <w:bottom w:val="single" w:color="000000" w:sz="4" w:space="0"/>
              <w:right w:val="single" w:color="000000" w:sz="4" w:space="0"/>
            </w:tcBorders>
            <w:noWrap/>
            <w:vAlign w:val="center"/>
          </w:tcPr>
          <w:p w14:paraId="10ACBCF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6组</w:t>
            </w:r>
          </w:p>
        </w:tc>
      </w:tr>
      <w:tr w14:paraId="043CB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22"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0F2D6CC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i w:val="0"/>
                <w:iCs w:val="0"/>
                <w:color w:val="000000"/>
                <w:sz w:val="24"/>
                <w:szCs w:val="24"/>
                <w:u w:val="none"/>
              </w:rPr>
            </w:pPr>
          </w:p>
        </w:tc>
        <w:tc>
          <w:tcPr>
            <w:tcW w:w="1279" w:type="dxa"/>
            <w:vMerge w:val="continue"/>
            <w:tcBorders>
              <w:top w:val="single" w:color="000000" w:sz="4" w:space="0"/>
              <w:left w:val="single" w:color="000000" w:sz="4" w:space="0"/>
              <w:bottom w:val="nil"/>
              <w:right w:val="single" w:color="000000" w:sz="4" w:space="0"/>
            </w:tcBorders>
            <w:noWrap w:val="0"/>
            <w:vAlign w:val="center"/>
          </w:tcPr>
          <w:p w14:paraId="361F25D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i w:val="0"/>
                <w:iCs w:val="0"/>
                <w:color w:val="000000"/>
                <w:sz w:val="24"/>
                <w:szCs w:val="24"/>
                <w:u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5BDCC13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定制“丹曦廊”宣传橱窗展板1</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244562E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200*100</w:t>
            </w:r>
          </w:p>
        </w:tc>
        <w:tc>
          <w:tcPr>
            <w:tcW w:w="1302" w:type="dxa"/>
            <w:tcBorders>
              <w:top w:val="single" w:color="000000" w:sz="4" w:space="0"/>
              <w:left w:val="single" w:color="000000" w:sz="4" w:space="0"/>
              <w:bottom w:val="single" w:color="000000" w:sz="4" w:space="0"/>
              <w:right w:val="single" w:color="000000" w:sz="4" w:space="0"/>
            </w:tcBorders>
            <w:noWrap/>
            <w:vAlign w:val="center"/>
          </w:tcPr>
          <w:p w14:paraId="1FC0FB3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6块</w:t>
            </w:r>
          </w:p>
        </w:tc>
      </w:tr>
      <w:tr w14:paraId="459CD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22"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597A0D6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i w:val="0"/>
                <w:iCs w:val="0"/>
                <w:color w:val="000000"/>
                <w:sz w:val="24"/>
                <w:szCs w:val="24"/>
                <w:u w:val="none"/>
              </w:rPr>
            </w:pPr>
          </w:p>
        </w:tc>
        <w:tc>
          <w:tcPr>
            <w:tcW w:w="1279" w:type="dxa"/>
            <w:vMerge w:val="continue"/>
            <w:tcBorders>
              <w:top w:val="single" w:color="000000" w:sz="4" w:space="0"/>
              <w:left w:val="single" w:color="000000" w:sz="4" w:space="0"/>
              <w:bottom w:val="nil"/>
              <w:right w:val="single" w:color="000000" w:sz="4" w:space="0"/>
            </w:tcBorders>
            <w:noWrap w:val="0"/>
            <w:vAlign w:val="center"/>
          </w:tcPr>
          <w:p w14:paraId="68362CF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i w:val="0"/>
                <w:iCs w:val="0"/>
                <w:color w:val="000000"/>
                <w:sz w:val="24"/>
                <w:szCs w:val="24"/>
                <w:u w:val="none"/>
              </w:rPr>
            </w:pPr>
          </w:p>
        </w:tc>
        <w:tc>
          <w:tcPr>
            <w:tcW w:w="3899" w:type="dxa"/>
            <w:tcBorders>
              <w:top w:val="single" w:color="000000" w:sz="4" w:space="0"/>
              <w:left w:val="single" w:color="000000" w:sz="4" w:space="0"/>
              <w:bottom w:val="nil"/>
              <w:right w:val="single" w:color="000000" w:sz="4" w:space="0"/>
            </w:tcBorders>
            <w:noWrap w:val="0"/>
            <w:vAlign w:val="center"/>
          </w:tcPr>
          <w:p w14:paraId="2AE6D61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定制“丹曦廊”宣传橱窗展板2</w:t>
            </w:r>
          </w:p>
        </w:tc>
        <w:tc>
          <w:tcPr>
            <w:tcW w:w="1996" w:type="dxa"/>
            <w:tcBorders>
              <w:top w:val="single" w:color="000000" w:sz="4" w:space="0"/>
              <w:left w:val="single" w:color="000000" w:sz="4" w:space="0"/>
              <w:bottom w:val="nil"/>
              <w:right w:val="single" w:color="000000" w:sz="4" w:space="0"/>
            </w:tcBorders>
            <w:noWrap w:val="0"/>
            <w:vAlign w:val="center"/>
          </w:tcPr>
          <w:p w14:paraId="6013870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80*160</w:t>
            </w:r>
          </w:p>
        </w:tc>
        <w:tc>
          <w:tcPr>
            <w:tcW w:w="1302" w:type="dxa"/>
            <w:tcBorders>
              <w:top w:val="single" w:color="000000" w:sz="4" w:space="0"/>
              <w:left w:val="single" w:color="000000" w:sz="4" w:space="0"/>
              <w:bottom w:val="nil"/>
              <w:right w:val="single" w:color="000000" w:sz="4" w:space="0"/>
            </w:tcBorders>
            <w:noWrap/>
            <w:vAlign w:val="center"/>
          </w:tcPr>
          <w:p w14:paraId="2F67654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6块</w:t>
            </w:r>
          </w:p>
        </w:tc>
      </w:tr>
      <w:tr w14:paraId="51CF9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A346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0C8A5CE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履实台</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2A614E6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定制励志名言警句立体造型字</w:t>
            </w:r>
          </w:p>
        </w:tc>
        <w:tc>
          <w:tcPr>
            <w:tcW w:w="1996" w:type="dxa"/>
            <w:tcBorders>
              <w:top w:val="single" w:color="000000" w:sz="4" w:space="0"/>
              <w:left w:val="single" w:color="000000" w:sz="4" w:space="0"/>
              <w:bottom w:val="single" w:color="000000" w:sz="4" w:space="0"/>
              <w:right w:val="single" w:color="000000" w:sz="4" w:space="0"/>
            </w:tcBorders>
            <w:noWrap/>
            <w:vAlign w:val="center"/>
          </w:tcPr>
          <w:p w14:paraId="42B9C5F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50*50</w:t>
            </w:r>
          </w:p>
        </w:tc>
        <w:tc>
          <w:tcPr>
            <w:tcW w:w="1302" w:type="dxa"/>
            <w:tcBorders>
              <w:top w:val="single" w:color="000000" w:sz="4" w:space="0"/>
              <w:left w:val="single" w:color="000000" w:sz="4" w:space="0"/>
              <w:bottom w:val="single" w:color="000000" w:sz="4" w:space="0"/>
              <w:right w:val="single" w:color="000000" w:sz="4" w:space="0"/>
            </w:tcBorders>
            <w:noWrap/>
            <w:vAlign w:val="center"/>
          </w:tcPr>
          <w:p w14:paraId="0A75588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60个</w:t>
            </w:r>
          </w:p>
        </w:tc>
      </w:tr>
      <w:tr w14:paraId="0D454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F248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9</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40FF398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赤履场</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2E31083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运动文化景观艺术小品</w:t>
            </w:r>
          </w:p>
        </w:tc>
        <w:tc>
          <w:tcPr>
            <w:tcW w:w="1996" w:type="dxa"/>
            <w:tcBorders>
              <w:top w:val="single" w:color="000000" w:sz="4" w:space="0"/>
              <w:left w:val="single" w:color="000000" w:sz="4" w:space="0"/>
              <w:bottom w:val="single" w:color="000000" w:sz="4" w:space="0"/>
              <w:right w:val="single" w:color="000000" w:sz="4" w:space="0"/>
            </w:tcBorders>
            <w:noWrap/>
            <w:vAlign w:val="center"/>
          </w:tcPr>
          <w:p w14:paraId="51A2932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120*160</w:t>
            </w:r>
          </w:p>
        </w:tc>
        <w:tc>
          <w:tcPr>
            <w:tcW w:w="1302" w:type="dxa"/>
            <w:tcBorders>
              <w:top w:val="single" w:color="000000" w:sz="4" w:space="0"/>
              <w:left w:val="single" w:color="000000" w:sz="4" w:space="0"/>
              <w:bottom w:val="single" w:color="000000" w:sz="4" w:space="0"/>
              <w:right w:val="single" w:color="000000" w:sz="4" w:space="0"/>
            </w:tcBorders>
            <w:noWrap/>
            <w:vAlign w:val="center"/>
          </w:tcPr>
          <w:p w14:paraId="212B629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10个</w:t>
            </w:r>
          </w:p>
        </w:tc>
      </w:tr>
      <w:tr w14:paraId="7D58D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3CCA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10</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0BB2137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启心园</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2C7C5B7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“启心园”文化艺术景观</w:t>
            </w:r>
          </w:p>
        </w:tc>
        <w:tc>
          <w:tcPr>
            <w:tcW w:w="1996" w:type="dxa"/>
            <w:tcBorders>
              <w:top w:val="single" w:color="000000" w:sz="4" w:space="0"/>
              <w:left w:val="single" w:color="000000" w:sz="4" w:space="0"/>
              <w:bottom w:val="single" w:color="000000" w:sz="4" w:space="0"/>
              <w:right w:val="single" w:color="000000" w:sz="4" w:space="0"/>
            </w:tcBorders>
            <w:noWrap/>
            <w:vAlign w:val="center"/>
          </w:tcPr>
          <w:p w14:paraId="41934AC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850*260*40</w:t>
            </w:r>
          </w:p>
        </w:tc>
        <w:tc>
          <w:tcPr>
            <w:tcW w:w="1302" w:type="dxa"/>
            <w:tcBorders>
              <w:top w:val="single" w:color="000000" w:sz="4" w:space="0"/>
              <w:left w:val="single" w:color="000000" w:sz="4" w:space="0"/>
              <w:bottom w:val="single" w:color="000000" w:sz="4" w:space="0"/>
              <w:right w:val="single" w:color="000000" w:sz="4" w:space="0"/>
            </w:tcBorders>
            <w:noWrap/>
            <w:vAlign w:val="center"/>
          </w:tcPr>
          <w:p w14:paraId="1D3A772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sz w:val="24"/>
                <w:szCs w:val="24"/>
              </w:rPr>
              <w:t>1</w:t>
            </w:r>
            <w:r>
              <w:rPr>
                <w:rFonts w:hint="eastAsia" w:ascii="宋体" w:hAnsi="宋体" w:eastAsia="宋体" w:cs="宋体"/>
                <w:b w:val="0"/>
                <w:bCs w:val="0"/>
                <w:i w:val="0"/>
                <w:iCs w:val="0"/>
                <w:color w:val="000000"/>
                <w:kern w:val="0"/>
                <w:sz w:val="24"/>
                <w:szCs w:val="24"/>
                <w:u w:val="none"/>
                <w:lang w:val="en-US" w:eastAsia="zh-CN" w:bidi="ar"/>
              </w:rPr>
              <w:t>组</w:t>
            </w:r>
          </w:p>
        </w:tc>
      </w:tr>
      <w:tr w14:paraId="7CA68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288A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11</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79D72D6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初心驿</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6EC9479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“初心驿”文化艺术景观</w:t>
            </w:r>
          </w:p>
        </w:tc>
        <w:tc>
          <w:tcPr>
            <w:tcW w:w="1996" w:type="dxa"/>
            <w:tcBorders>
              <w:top w:val="single" w:color="000000" w:sz="4" w:space="0"/>
              <w:left w:val="single" w:color="000000" w:sz="4" w:space="0"/>
              <w:bottom w:val="single" w:color="000000" w:sz="4" w:space="0"/>
              <w:right w:val="single" w:color="000000" w:sz="4" w:space="0"/>
            </w:tcBorders>
            <w:noWrap/>
            <w:vAlign w:val="center"/>
          </w:tcPr>
          <w:p w14:paraId="30B74E7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500*220</w:t>
            </w:r>
          </w:p>
        </w:tc>
        <w:tc>
          <w:tcPr>
            <w:tcW w:w="1302" w:type="dxa"/>
            <w:tcBorders>
              <w:top w:val="single" w:color="000000" w:sz="4" w:space="0"/>
              <w:left w:val="single" w:color="000000" w:sz="4" w:space="0"/>
              <w:bottom w:val="single" w:color="000000" w:sz="4" w:space="0"/>
              <w:right w:val="single" w:color="000000" w:sz="4" w:space="0"/>
            </w:tcBorders>
            <w:noWrap/>
            <w:vAlign w:val="center"/>
          </w:tcPr>
          <w:p w14:paraId="257FD73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i w:val="0"/>
                <w:iCs w:val="0"/>
                <w:color w:val="000000"/>
                <w:kern w:val="0"/>
                <w:sz w:val="24"/>
                <w:szCs w:val="24"/>
                <w:u w:val="none"/>
                <w:lang w:val="en-US" w:eastAsia="zh-CN" w:bidi="ar"/>
              </w:rPr>
              <w:t>项</w:t>
            </w:r>
          </w:p>
        </w:tc>
      </w:tr>
      <w:tr w14:paraId="1379E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8B50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12</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5FAC1F1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撷英廊</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59A7F0A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定制文化宣传展板（双面画面）</w:t>
            </w:r>
          </w:p>
        </w:tc>
        <w:tc>
          <w:tcPr>
            <w:tcW w:w="1996" w:type="dxa"/>
            <w:tcBorders>
              <w:top w:val="single" w:color="000000" w:sz="4" w:space="0"/>
              <w:left w:val="single" w:color="000000" w:sz="4" w:space="0"/>
              <w:bottom w:val="single" w:color="000000" w:sz="4" w:space="0"/>
              <w:right w:val="single" w:color="000000" w:sz="4" w:space="0"/>
            </w:tcBorders>
            <w:noWrap/>
            <w:vAlign w:val="center"/>
          </w:tcPr>
          <w:p w14:paraId="7C0121F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11000*250</w:t>
            </w:r>
          </w:p>
        </w:tc>
        <w:tc>
          <w:tcPr>
            <w:tcW w:w="1302" w:type="dxa"/>
            <w:tcBorders>
              <w:top w:val="single" w:color="000000" w:sz="4" w:space="0"/>
              <w:left w:val="single" w:color="000000" w:sz="4" w:space="0"/>
              <w:bottom w:val="single" w:color="000000" w:sz="4" w:space="0"/>
              <w:right w:val="single" w:color="000000" w:sz="4" w:space="0"/>
            </w:tcBorders>
            <w:noWrap/>
            <w:vAlign w:val="center"/>
          </w:tcPr>
          <w:p w14:paraId="1A5E4CB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110米</w:t>
            </w:r>
          </w:p>
        </w:tc>
      </w:tr>
      <w:tr w14:paraId="568E7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ED7E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13</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34488A6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鹤鸣廊</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152F53D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定制文化宣传展板（双面画面）</w:t>
            </w:r>
          </w:p>
        </w:tc>
        <w:tc>
          <w:tcPr>
            <w:tcW w:w="1996" w:type="dxa"/>
            <w:tcBorders>
              <w:top w:val="single" w:color="000000" w:sz="4" w:space="0"/>
              <w:left w:val="single" w:color="000000" w:sz="4" w:space="0"/>
              <w:bottom w:val="single" w:color="000000" w:sz="4" w:space="0"/>
              <w:right w:val="single" w:color="000000" w:sz="4" w:space="0"/>
            </w:tcBorders>
            <w:noWrap/>
            <w:vAlign w:val="center"/>
          </w:tcPr>
          <w:p w14:paraId="73CECDF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7000*250</w:t>
            </w:r>
          </w:p>
        </w:tc>
        <w:tc>
          <w:tcPr>
            <w:tcW w:w="1302" w:type="dxa"/>
            <w:tcBorders>
              <w:top w:val="single" w:color="000000" w:sz="4" w:space="0"/>
              <w:left w:val="single" w:color="000000" w:sz="4" w:space="0"/>
              <w:bottom w:val="single" w:color="000000" w:sz="4" w:space="0"/>
              <w:right w:val="single" w:color="000000" w:sz="4" w:space="0"/>
            </w:tcBorders>
            <w:noWrap/>
            <w:vAlign w:val="center"/>
          </w:tcPr>
          <w:p w14:paraId="6B7910F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70米</w:t>
            </w:r>
          </w:p>
        </w:tc>
      </w:tr>
      <w:tr w14:paraId="59F8E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850E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14</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B4A2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蕙风庭</w:t>
            </w:r>
          </w:p>
        </w:tc>
        <w:tc>
          <w:tcPr>
            <w:tcW w:w="38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8E04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“蕙风庭”文化艺术景观造型</w:t>
            </w:r>
          </w:p>
        </w:tc>
        <w:tc>
          <w:tcPr>
            <w:tcW w:w="1996" w:type="dxa"/>
            <w:tcBorders>
              <w:top w:val="single" w:color="000000" w:sz="4" w:space="0"/>
              <w:left w:val="single" w:color="000000" w:sz="4" w:space="0"/>
              <w:bottom w:val="single" w:color="000000" w:sz="4" w:space="0"/>
              <w:right w:val="single" w:color="000000" w:sz="4" w:space="0"/>
            </w:tcBorders>
            <w:noWrap/>
            <w:vAlign w:val="center"/>
          </w:tcPr>
          <w:p w14:paraId="01C3EDB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850*290*120</w:t>
            </w:r>
          </w:p>
        </w:tc>
        <w:tc>
          <w:tcPr>
            <w:tcW w:w="1302" w:type="dxa"/>
            <w:tcBorders>
              <w:top w:val="single" w:color="000000" w:sz="4" w:space="0"/>
              <w:left w:val="single" w:color="000000" w:sz="4" w:space="0"/>
              <w:bottom w:val="single" w:color="000000" w:sz="4" w:space="0"/>
              <w:right w:val="single" w:color="000000" w:sz="4" w:space="0"/>
            </w:tcBorders>
            <w:noWrap/>
            <w:vAlign w:val="center"/>
          </w:tcPr>
          <w:p w14:paraId="3B1E42A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1项</w:t>
            </w:r>
          </w:p>
        </w:tc>
      </w:tr>
      <w:tr w14:paraId="5416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1DC0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15</w:t>
            </w:r>
          </w:p>
        </w:tc>
        <w:tc>
          <w:tcPr>
            <w:tcW w:w="1279" w:type="dxa"/>
            <w:vMerge w:val="restart"/>
            <w:tcBorders>
              <w:top w:val="single" w:color="000000" w:sz="4" w:space="0"/>
              <w:left w:val="single" w:color="000000" w:sz="4" w:space="0"/>
              <w:bottom w:val="single" w:color="000000" w:sz="4" w:space="0"/>
              <w:right w:val="single" w:color="000000" w:sz="4" w:space="0"/>
            </w:tcBorders>
            <w:noWrap w:val="0"/>
            <w:vAlign w:val="center"/>
          </w:tcPr>
          <w:p w14:paraId="0DC2AC0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清阳步道</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7C31E50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定制“养生理念”文化艺术景观</w:t>
            </w:r>
          </w:p>
        </w:tc>
        <w:tc>
          <w:tcPr>
            <w:tcW w:w="1996" w:type="dxa"/>
            <w:tcBorders>
              <w:top w:val="single" w:color="000000" w:sz="4" w:space="0"/>
              <w:left w:val="single" w:color="000000" w:sz="4" w:space="0"/>
              <w:bottom w:val="single" w:color="000000" w:sz="4" w:space="0"/>
              <w:right w:val="single" w:color="000000" w:sz="4" w:space="0"/>
            </w:tcBorders>
            <w:noWrap/>
            <w:vAlign w:val="center"/>
          </w:tcPr>
          <w:p w14:paraId="1F5CCA3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75*120*60</w:t>
            </w:r>
          </w:p>
        </w:tc>
        <w:tc>
          <w:tcPr>
            <w:tcW w:w="1302" w:type="dxa"/>
            <w:tcBorders>
              <w:top w:val="single" w:color="000000" w:sz="4" w:space="0"/>
              <w:left w:val="single" w:color="000000" w:sz="4" w:space="0"/>
              <w:bottom w:val="single" w:color="000000" w:sz="4" w:space="0"/>
              <w:right w:val="single" w:color="000000" w:sz="4" w:space="0"/>
            </w:tcBorders>
            <w:noWrap/>
            <w:vAlign w:val="center"/>
          </w:tcPr>
          <w:p w14:paraId="6734830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10块</w:t>
            </w:r>
          </w:p>
        </w:tc>
      </w:tr>
      <w:tr w14:paraId="212BF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4429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i w:val="0"/>
                <w:iCs w:val="0"/>
                <w:color w:val="000000"/>
                <w:sz w:val="24"/>
                <w:szCs w:val="24"/>
                <w:u w:val="none"/>
              </w:rPr>
            </w:pPr>
          </w:p>
        </w:tc>
        <w:tc>
          <w:tcPr>
            <w:tcW w:w="12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D0680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i w:val="0"/>
                <w:iCs w:val="0"/>
                <w:color w:val="000000"/>
                <w:sz w:val="24"/>
                <w:szCs w:val="24"/>
                <w:u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39CF70B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定制“风铃”文化艺术景观</w:t>
            </w:r>
          </w:p>
        </w:tc>
        <w:tc>
          <w:tcPr>
            <w:tcW w:w="1996" w:type="dxa"/>
            <w:tcBorders>
              <w:top w:val="single" w:color="000000" w:sz="4" w:space="0"/>
              <w:left w:val="single" w:color="000000" w:sz="4" w:space="0"/>
              <w:bottom w:val="single" w:color="000000" w:sz="4" w:space="0"/>
              <w:right w:val="single" w:color="000000" w:sz="4" w:space="0"/>
            </w:tcBorders>
            <w:noWrap/>
            <w:vAlign w:val="center"/>
          </w:tcPr>
          <w:p w14:paraId="42CCBE8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20*20*240</w:t>
            </w:r>
          </w:p>
        </w:tc>
        <w:tc>
          <w:tcPr>
            <w:tcW w:w="1302" w:type="dxa"/>
            <w:tcBorders>
              <w:top w:val="single" w:color="000000" w:sz="4" w:space="0"/>
              <w:left w:val="single" w:color="000000" w:sz="4" w:space="0"/>
              <w:bottom w:val="single" w:color="000000" w:sz="4" w:space="0"/>
              <w:right w:val="single" w:color="000000" w:sz="4" w:space="0"/>
            </w:tcBorders>
            <w:noWrap/>
            <w:vAlign w:val="center"/>
          </w:tcPr>
          <w:p w14:paraId="47E17E7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10个</w:t>
            </w:r>
          </w:p>
        </w:tc>
      </w:tr>
    </w:tbl>
    <w:p w14:paraId="54BC407D">
      <w:pPr>
        <w:keepNext w:val="0"/>
        <w:keepLines w:val="0"/>
        <w:pageBreakBefore w:val="0"/>
        <w:widowControl w:val="0"/>
        <w:kinsoku w:val="0"/>
        <w:wordWrap/>
        <w:overflowPunct/>
        <w:topLinePunct w:val="0"/>
        <w:autoSpaceDE w:val="0"/>
        <w:autoSpaceDN w:val="0"/>
        <w:bidi w:val="0"/>
        <w:adjustRightInd w:val="0"/>
        <w:snapToGrid w:val="0"/>
        <w:spacing w:line="242" w:lineRule="auto"/>
        <w:ind w:firstLine="478" w:firstLineChars="200"/>
        <w:textAlignment w:val="baseline"/>
        <w:rPr>
          <w:rFonts w:hint="default" w:eastAsia="宋体"/>
          <w:b/>
          <w:bCs/>
          <w:color w:val="auto"/>
          <w:lang w:val="en-US" w:eastAsia="zh-CN"/>
        </w:rPr>
      </w:pPr>
      <w:r>
        <w:rPr>
          <w:rFonts w:hint="eastAsia"/>
          <w:b/>
          <w:bCs/>
          <w:color w:val="auto"/>
          <w:lang w:eastAsia="zh-CN"/>
        </w:rPr>
        <w:t>（</w:t>
      </w:r>
      <w:r>
        <w:rPr>
          <w:rFonts w:hint="eastAsia"/>
          <w:b/>
          <w:bCs/>
          <w:color w:val="auto"/>
          <w:lang w:val="en-US" w:eastAsia="zh-CN"/>
        </w:rPr>
        <w:t>二）技术要求</w:t>
      </w:r>
    </w:p>
    <w:bookmarkEnd w:id="9"/>
    <w:bookmarkEnd w:id="10"/>
    <w:bookmarkEnd w:id="11"/>
    <w:bookmarkEnd w:id="12"/>
    <w:bookmarkEnd w:id="13"/>
    <w:tbl>
      <w:tblPr>
        <w:tblStyle w:val="2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065"/>
        <w:gridCol w:w="1846"/>
        <w:gridCol w:w="5859"/>
      </w:tblGrid>
      <w:tr w14:paraId="78B0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0" w:type="dxa"/>
            <w:shd w:val="clear" w:color="auto" w:fill="FFFFFF"/>
            <w:noWrap/>
            <w:vAlign w:val="center"/>
          </w:tcPr>
          <w:p w14:paraId="255F46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030" w:type="dxa"/>
            <w:noWrap/>
            <w:vAlign w:val="center"/>
          </w:tcPr>
          <w:p w14:paraId="400053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节点</w:t>
            </w:r>
          </w:p>
        </w:tc>
        <w:tc>
          <w:tcPr>
            <w:tcW w:w="1786" w:type="dxa"/>
            <w:noWrap w:val="0"/>
            <w:vAlign w:val="center"/>
          </w:tcPr>
          <w:p w14:paraId="1AAF28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品名</w:t>
            </w:r>
          </w:p>
        </w:tc>
        <w:tc>
          <w:tcPr>
            <w:tcW w:w="5669" w:type="dxa"/>
            <w:noWrap/>
            <w:vAlign w:val="center"/>
          </w:tcPr>
          <w:p w14:paraId="37913A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施工工艺特征描述</w:t>
            </w:r>
          </w:p>
        </w:tc>
      </w:tr>
      <w:tr w14:paraId="4815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710" w:type="dxa"/>
            <w:vMerge w:val="restart"/>
            <w:shd w:val="clear" w:color="auto" w:fill="FFFFFF"/>
            <w:noWrap/>
            <w:vAlign w:val="center"/>
          </w:tcPr>
          <w:p w14:paraId="5BEEB8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030" w:type="dxa"/>
            <w:vMerge w:val="restart"/>
            <w:shd w:val="clear" w:color="auto" w:fill="auto"/>
            <w:noWrap w:val="0"/>
            <w:vAlign w:val="center"/>
          </w:tcPr>
          <w:p w14:paraId="0077729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毓德窗</w:t>
            </w:r>
          </w:p>
        </w:tc>
        <w:tc>
          <w:tcPr>
            <w:tcW w:w="1786" w:type="dxa"/>
            <w:shd w:val="clear" w:color="auto" w:fill="FFFFFF"/>
            <w:noWrap w:val="0"/>
            <w:vAlign w:val="center"/>
          </w:tcPr>
          <w:p w14:paraId="05DCAF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定制“毓德窗”文化景观主体造型</w:t>
            </w:r>
          </w:p>
        </w:tc>
        <w:tc>
          <w:tcPr>
            <w:tcW w:w="5669" w:type="dxa"/>
            <w:shd w:val="clear" w:color="auto" w:fill="FFFFFF"/>
            <w:noWrap w:val="0"/>
            <w:vAlign w:val="center"/>
          </w:tcPr>
          <w:p w14:paraId="3EE6251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1.1.2mm镀锌板异型数控激光雕刻，整体焊接造型，内置加强骨架，边角点焊工艺，打磨，底漆两遍，整体喷涂面漆两遍。                                             2.内嵌发光灯带（人工现场预埋接线）                                    3.出厂运输，现场人工安装，吊车安装，现场深挖预埋，预制钢板、混凝土预埋。预埋表面回填。</w:t>
            </w:r>
          </w:p>
        </w:tc>
      </w:tr>
      <w:tr w14:paraId="2C172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710" w:type="dxa"/>
            <w:vMerge w:val="continue"/>
            <w:shd w:val="clear" w:color="auto" w:fill="FFFFFF"/>
            <w:noWrap/>
            <w:vAlign w:val="center"/>
          </w:tcPr>
          <w:p w14:paraId="55BE47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1030" w:type="dxa"/>
            <w:vMerge w:val="continue"/>
            <w:shd w:val="clear" w:color="auto" w:fill="auto"/>
            <w:noWrap w:val="0"/>
            <w:vAlign w:val="center"/>
          </w:tcPr>
          <w:p w14:paraId="0FAB51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1786" w:type="dxa"/>
            <w:shd w:val="clear" w:color="auto" w:fill="FFFFFF"/>
            <w:noWrap w:val="0"/>
            <w:vAlign w:val="center"/>
          </w:tcPr>
          <w:p w14:paraId="6A82ED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定制“毓德窗”文化宣传橱窗</w:t>
            </w:r>
          </w:p>
        </w:tc>
        <w:tc>
          <w:tcPr>
            <w:tcW w:w="5669" w:type="dxa"/>
            <w:shd w:val="clear" w:color="auto" w:fill="FFFFFF"/>
            <w:noWrap w:val="0"/>
            <w:vAlign w:val="center"/>
          </w:tcPr>
          <w:p w14:paraId="6ABD623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1.12mm高密度PVC立体雕刻造型UV画面。                 2.内嵌发光灯带（人工现场预埋接线）。                                    3.出厂运输，现场人工安装。</w:t>
            </w:r>
          </w:p>
        </w:tc>
      </w:tr>
      <w:tr w14:paraId="7459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710" w:type="dxa"/>
            <w:vMerge w:val="continue"/>
            <w:shd w:val="clear" w:color="auto" w:fill="FFFFFF"/>
            <w:noWrap/>
            <w:vAlign w:val="center"/>
          </w:tcPr>
          <w:p w14:paraId="1524F5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1030" w:type="dxa"/>
            <w:vMerge w:val="continue"/>
            <w:shd w:val="clear" w:color="auto" w:fill="auto"/>
            <w:noWrap w:val="0"/>
            <w:vAlign w:val="center"/>
          </w:tcPr>
          <w:p w14:paraId="58EA563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1786" w:type="dxa"/>
            <w:shd w:val="clear" w:color="auto" w:fill="FFFFFF"/>
            <w:noWrap w:val="0"/>
            <w:vAlign w:val="center"/>
          </w:tcPr>
          <w:p w14:paraId="24A572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定制3D立体造型字</w:t>
            </w:r>
          </w:p>
        </w:tc>
        <w:tc>
          <w:tcPr>
            <w:tcW w:w="5669" w:type="dxa"/>
            <w:shd w:val="clear" w:color="auto" w:fill="FFFFFF"/>
            <w:noWrap w:val="0"/>
            <w:vAlign w:val="center"/>
          </w:tcPr>
          <w:p w14:paraId="1C6015B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1.金属立体造型字。                                  2.出厂运输，现场人工安装。</w:t>
            </w:r>
          </w:p>
        </w:tc>
      </w:tr>
      <w:tr w14:paraId="09F6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710" w:type="dxa"/>
            <w:shd w:val="clear" w:color="auto" w:fill="FFFFFF"/>
            <w:noWrap/>
            <w:vAlign w:val="center"/>
          </w:tcPr>
          <w:p w14:paraId="32ECE0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030" w:type="dxa"/>
            <w:shd w:val="clear" w:color="auto" w:fill="auto"/>
            <w:noWrap w:val="0"/>
            <w:vAlign w:val="center"/>
          </w:tcPr>
          <w:p w14:paraId="7B7F8B4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育贤坪</w:t>
            </w:r>
          </w:p>
        </w:tc>
        <w:tc>
          <w:tcPr>
            <w:tcW w:w="1786" w:type="dxa"/>
            <w:shd w:val="clear" w:color="auto" w:fill="FFFFFF"/>
            <w:noWrap w:val="0"/>
            <w:vAlign w:val="center"/>
          </w:tcPr>
          <w:p w14:paraId="1BCF8C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“习语金句”文化艺术景观</w:t>
            </w:r>
          </w:p>
        </w:tc>
        <w:tc>
          <w:tcPr>
            <w:tcW w:w="5669" w:type="dxa"/>
            <w:shd w:val="clear" w:color="auto" w:fill="FFFFFF"/>
            <w:noWrap w:val="0"/>
            <w:vAlign w:val="center"/>
          </w:tcPr>
          <w:p w14:paraId="437D894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1.1.2mm镀锌板异型数控激光雕刻，整体焊接造型，内置加强骨架，边角点焊工艺，打磨，底漆两遍，整体喷涂面漆两遍，钢化玻璃UV文字，3M膜 UV 打印。                                       2.出厂运输，现场人工安装，吊车安装，现场深挖预埋，预制钢板、混凝土预埋。预埋表面回填。</w:t>
            </w:r>
          </w:p>
        </w:tc>
      </w:tr>
      <w:tr w14:paraId="4666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710" w:type="dxa"/>
            <w:vMerge w:val="restart"/>
            <w:shd w:val="clear" w:color="auto" w:fill="FFFFFF"/>
            <w:noWrap/>
            <w:vAlign w:val="center"/>
          </w:tcPr>
          <w:p w14:paraId="7D896CB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030" w:type="dxa"/>
            <w:vMerge w:val="restart"/>
            <w:shd w:val="clear" w:color="auto" w:fill="auto"/>
            <w:noWrap w:val="0"/>
            <w:vAlign w:val="center"/>
          </w:tcPr>
          <w:p w14:paraId="589C53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cs="宋体"/>
                <w:b/>
                <w:bCs/>
                <w:i w:val="0"/>
                <w:iCs w:val="0"/>
                <w:color w:val="auto"/>
                <w:kern w:val="0"/>
                <w:sz w:val="24"/>
                <w:szCs w:val="24"/>
                <w:u w:val="none"/>
                <w:lang w:val="en-US" w:eastAsia="zh-CN" w:bidi="ar"/>
              </w:rPr>
              <w:t>红蓝</w:t>
            </w:r>
            <w:r>
              <w:rPr>
                <w:rFonts w:hint="eastAsia" w:ascii="宋体" w:hAnsi="宋体" w:eastAsia="宋体" w:cs="宋体"/>
                <w:b/>
                <w:bCs/>
                <w:i w:val="0"/>
                <w:iCs w:val="0"/>
                <w:color w:val="auto"/>
                <w:kern w:val="0"/>
                <w:sz w:val="24"/>
                <w:szCs w:val="24"/>
                <w:u w:val="none"/>
                <w:lang w:val="en-US" w:eastAsia="zh-CN" w:bidi="ar"/>
              </w:rPr>
              <w:t>园</w:t>
            </w:r>
          </w:p>
        </w:tc>
        <w:tc>
          <w:tcPr>
            <w:tcW w:w="1786" w:type="dxa"/>
            <w:shd w:val="clear" w:color="auto" w:fill="FFFFFF"/>
            <w:noWrap w:val="0"/>
            <w:vAlign w:val="center"/>
          </w:tcPr>
          <w:p w14:paraId="450A15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塑木地面铺装</w:t>
            </w:r>
          </w:p>
        </w:tc>
        <w:tc>
          <w:tcPr>
            <w:tcW w:w="5669" w:type="dxa"/>
            <w:shd w:val="clear" w:color="auto" w:fill="FFFFFF"/>
            <w:noWrap w:val="0"/>
            <w:vAlign w:val="center"/>
          </w:tcPr>
          <w:p w14:paraId="1D3D960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1.户外塑木圆形造型铺装，镀锌钢管主副龙骨搭建，骨架焊点防锈处理。                                      2.出厂运输，现场人工安装。</w:t>
            </w:r>
          </w:p>
        </w:tc>
      </w:tr>
      <w:tr w14:paraId="0C56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10" w:type="dxa"/>
            <w:vMerge w:val="continue"/>
            <w:shd w:val="clear" w:color="auto" w:fill="FFFFFF"/>
            <w:noWrap/>
            <w:vAlign w:val="center"/>
          </w:tcPr>
          <w:p w14:paraId="7703BA5F">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u w:val="none"/>
              </w:rPr>
            </w:pPr>
          </w:p>
        </w:tc>
        <w:tc>
          <w:tcPr>
            <w:tcW w:w="1030" w:type="dxa"/>
            <w:vMerge w:val="continue"/>
            <w:shd w:val="clear" w:color="auto" w:fill="auto"/>
            <w:noWrap w:val="0"/>
            <w:vAlign w:val="center"/>
          </w:tcPr>
          <w:p w14:paraId="43675BCD">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auto"/>
                <w:sz w:val="24"/>
                <w:szCs w:val="24"/>
                <w:u w:val="none"/>
              </w:rPr>
            </w:pPr>
          </w:p>
        </w:tc>
        <w:tc>
          <w:tcPr>
            <w:tcW w:w="1786" w:type="dxa"/>
            <w:shd w:val="clear" w:color="auto" w:fill="FFFFFF"/>
            <w:noWrap w:val="0"/>
            <w:vAlign w:val="center"/>
          </w:tcPr>
          <w:p w14:paraId="5AD1EB7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w:t>
            </w:r>
            <w:r>
              <w:rPr>
                <w:rFonts w:hint="eastAsia" w:ascii="宋体" w:hAnsi="宋体" w:cs="宋体"/>
                <w:i w:val="0"/>
                <w:iCs w:val="0"/>
                <w:color w:val="auto"/>
                <w:kern w:val="0"/>
                <w:sz w:val="24"/>
                <w:szCs w:val="24"/>
                <w:u w:val="none"/>
                <w:lang w:val="en-US" w:eastAsia="zh-CN" w:bidi="ar"/>
              </w:rPr>
              <w:t>红蓝园</w:t>
            </w:r>
            <w:r>
              <w:rPr>
                <w:rFonts w:hint="eastAsia" w:ascii="宋体" w:hAnsi="宋体" w:eastAsia="宋体" w:cs="宋体"/>
                <w:i w:val="0"/>
                <w:iCs w:val="0"/>
                <w:color w:val="auto"/>
                <w:kern w:val="0"/>
                <w:sz w:val="24"/>
                <w:szCs w:val="24"/>
                <w:u w:val="none"/>
                <w:lang w:val="en-US" w:eastAsia="zh-CN" w:bidi="ar"/>
              </w:rPr>
              <w:t>”文化艺术景观底座</w:t>
            </w:r>
          </w:p>
        </w:tc>
        <w:tc>
          <w:tcPr>
            <w:tcW w:w="5669" w:type="dxa"/>
            <w:shd w:val="clear" w:color="auto" w:fill="FFFFFF"/>
            <w:noWrap w:val="0"/>
            <w:vAlign w:val="center"/>
          </w:tcPr>
          <w:p w14:paraId="11D763B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1.1.2mm镀锌板异型数控激光雕刻，整体焊接造型，内置加强骨架，边角点焊工艺，打磨，底漆两遍，整体喷涂面漆两遍。                                             2.出厂运输，现场人工安装，吊车安装，现场深挖预埋，预制钢板、混凝土预埋。预埋表面回填。</w:t>
            </w:r>
          </w:p>
        </w:tc>
      </w:tr>
      <w:tr w14:paraId="2654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710" w:type="dxa"/>
            <w:vMerge w:val="continue"/>
            <w:shd w:val="clear" w:color="auto" w:fill="FFFFFF"/>
            <w:noWrap/>
            <w:vAlign w:val="center"/>
          </w:tcPr>
          <w:p w14:paraId="2D8A3D40">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u w:val="none"/>
              </w:rPr>
            </w:pPr>
          </w:p>
        </w:tc>
        <w:tc>
          <w:tcPr>
            <w:tcW w:w="1030" w:type="dxa"/>
            <w:vMerge w:val="continue"/>
            <w:noWrap w:val="0"/>
            <w:vAlign w:val="center"/>
          </w:tcPr>
          <w:p w14:paraId="2D31975D">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auto"/>
                <w:sz w:val="24"/>
                <w:szCs w:val="24"/>
                <w:u w:val="none"/>
              </w:rPr>
            </w:pPr>
          </w:p>
        </w:tc>
        <w:tc>
          <w:tcPr>
            <w:tcW w:w="1786" w:type="dxa"/>
            <w:noWrap w:val="0"/>
            <w:vAlign w:val="center"/>
          </w:tcPr>
          <w:p w14:paraId="008CEE8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w:t>
            </w:r>
            <w:r>
              <w:rPr>
                <w:rFonts w:hint="eastAsia" w:ascii="宋体" w:hAnsi="宋体" w:cs="宋体"/>
                <w:i w:val="0"/>
                <w:iCs w:val="0"/>
                <w:color w:val="auto"/>
                <w:kern w:val="0"/>
                <w:sz w:val="24"/>
                <w:szCs w:val="24"/>
                <w:u w:val="none"/>
                <w:lang w:val="en-US" w:eastAsia="zh-CN" w:bidi="ar"/>
              </w:rPr>
              <w:t>红蓝园</w:t>
            </w:r>
            <w:r>
              <w:rPr>
                <w:rFonts w:hint="eastAsia" w:ascii="宋体" w:hAnsi="宋体" w:eastAsia="宋体" w:cs="宋体"/>
                <w:i w:val="0"/>
                <w:iCs w:val="0"/>
                <w:color w:val="auto"/>
                <w:kern w:val="0"/>
                <w:sz w:val="24"/>
                <w:szCs w:val="24"/>
                <w:u w:val="none"/>
                <w:lang w:val="en-US" w:eastAsia="zh-CN" w:bidi="ar"/>
              </w:rPr>
              <w:t>”文化艺术景观立体造型字</w:t>
            </w:r>
          </w:p>
        </w:tc>
        <w:tc>
          <w:tcPr>
            <w:tcW w:w="5669" w:type="dxa"/>
            <w:noWrap w:val="0"/>
            <w:vAlign w:val="center"/>
          </w:tcPr>
          <w:p w14:paraId="6207CB6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1.1.2mm镀锌板异型数控激光雕刻，整体焊接造型，内置加强骨架，边角点焊工艺，打磨，底漆两遍，整体喷涂面漆两遍。                                             2.出厂运输，现场人工安装。</w:t>
            </w:r>
          </w:p>
        </w:tc>
      </w:tr>
      <w:tr w14:paraId="4CA2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1" w:hRule="atLeast"/>
        </w:trPr>
        <w:tc>
          <w:tcPr>
            <w:tcW w:w="710" w:type="dxa"/>
            <w:vMerge w:val="continue"/>
            <w:shd w:val="clear" w:color="auto" w:fill="FFFFFF"/>
            <w:noWrap/>
            <w:vAlign w:val="center"/>
          </w:tcPr>
          <w:p w14:paraId="15F6642E">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u w:val="none"/>
              </w:rPr>
            </w:pPr>
          </w:p>
        </w:tc>
        <w:tc>
          <w:tcPr>
            <w:tcW w:w="1030" w:type="dxa"/>
            <w:vMerge w:val="continue"/>
            <w:noWrap w:val="0"/>
            <w:vAlign w:val="center"/>
          </w:tcPr>
          <w:p w14:paraId="307AE175">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auto"/>
                <w:sz w:val="24"/>
                <w:szCs w:val="24"/>
                <w:u w:val="none"/>
              </w:rPr>
            </w:pPr>
          </w:p>
        </w:tc>
        <w:tc>
          <w:tcPr>
            <w:tcW w:w="1786" w:type="dxa"/>
            <w:noWrap w:val="0"/>
            <w:vAlign w:val="center"/>
          </w:tcPr>
          <w:p w14:paraId="412FC9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w:t>
            </w:r>
            <w:r>
              <w:rPr>
                <w:rFonts w:hint="eastAsia" w:ascii="宋体" w:hAnsi="宋体" w:cs="宋体"/>
                <w:i w:val="0"/>
                <w:iCs w:val="0"/>
                <w:color w:val="auto"/>
                <w:kern w:val="0"/>
                <w:sz w:val="24"/>
                <w:szCs w:val="24"/>
                <w:u w:val="none"/>
                <w:lang w:val="en-US" w:eastAsia="zh-CN" w:bidi="ar"/>
              </w:rPr>
              <w:t>红蓝园</w:t>
            </w:r>
            <w:r>
              <w:rPr>
                <w:rFonts w:hint="eastAsia" w:ascii="宋体" w:hAnsi="宋体" w:eastAsia="宋体" w:cs="宋体"/>
                <w:i w:val="0"/>
                <w:iCs w:val="0"/>
                <w:color w:val="auto"/>
                <w:kern w:val="0"/>
                <w:sz w:val="24"/>
                <w:szCs w:val="24"/>
                <w:u w:val="none"/>
                <w:lang w:val="en-US" w:eastAsia="zh-CN" w:bidi="ar"/>
              </w:rPr>
              <w:t>”文化艺术景观主体框架</w:t>
            </w:r>
          </w:p>
        </w:tc>
        <w:tc>
          <w:tcPr>
            <w:tcW w:w="5669" w:type="dxa"/>
            <w:noWrap w:val="0"/>
            <w:vAlign w:val="center"/>
          </w:tcPr>
          <w:p w14:paraId="7A86B42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1.1.2mm镀锌板异型数控激光雕刻，整体焊接造型，内置加强骨架，边角点焊工艺，打磨，底漆两遍，整体喷涂面漆两遍，面贴铁艺立体造型字，3M 膜 UV 打印。                                        </w:t>
            </w:r>
          </w:p>
          <w:p w14:paraId="4DE261D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lang w:val="en-US" w:eastAsia="zh-CN" w:bidi="ar"/>
              </w:rPr>
              <w:t>2.</w:t>
            </w:r>
            <w:r>
              <w:rPr>
                <w:rFonts w:hint="eastAsia" w:ascii="宋体" w:hAnsi="宋体" w:eastAsia="宋体" w:cs="宋体"/>
                <w:i w:val="0"/>
                <w:iCs w:val="0"/>
                <w:color w:val="auto"/>
                <w:kern w:val="0"/>
                <w:sz w:val="24"/>
                <w:szCs w:val="24"/>
                <w:u w:val="none"/>
                <w:lang w:val="en-US" w:eastAsia="zh-CN" w:bidi="ar"/>
              </w:rPr>
              <w:t>出厂运输，现场人工安装，吊车安装，现场深挖预埋，预制钢板、混凝土预埋。预埋表面回填。</w:t>
            </w:r>
          </w:p>
        </w:tc>
      </w:tr>
      <w:tr w14:paraId="635F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710" w:type="dxa"/>
            <w:vMerge w:val="restart"/>
            <w:shd w:val="clear" w:color="auto" w:fill="FFFFFF"/>
            <w:noWrap/>
            <w:vAlign w:val="center"/>
          </w:tcPr>
          <w:p w14:paraId="08EFFA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030" w:type="dxa"/>
            <w:vMerge w:val="restart"/>
            <w:noWrap w:val="0"/>
            <w:vAlign w:val="center"/>
          </w:tcPr>
          <w:p w14:paraId="12F8D2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红医园</w:t>
            </w:r>
          </w:p>
        </w:tc>
        <w:tc>
          <w:tcPr>
            <w:tcW w:w="1786" w:type="dxa"/>
            <w:noWrap w:val="0"/>
            <w:vAlign w:val="center"/>
          </w:tcPr>
          <w:p w14:paraId="01E0E00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定制红医精神景观装置造型</w:t>
            </w:r>
          </w:p>
        </w:tc>
        <w:tc>
          <w:tcPr>
            <w:tcW w:w="5669" w:type="dxa"/>
            <w:noWrap w:val="0"/>
            <w:vAlign w:val="center"/>
          </w:tcPr>
          <w:p w14:paraId="10F4851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1.1.2mm镀锌板异型数控激光雕刻，整体焊接造型，内置加强骨架，边角点焊工艺，打磨，底漆两遍，整体喷涂面漆两遍，面贴铁艺立体造型字。                           2.出厂运输，现场人工安装，吊车安装，现场深挖预埋，预制钢板、混凝土预埋。预埋表面回填。</w:t>
            </w:r>
          </w:p>
        </w:tc>
      </w:tr>
      <w:tr w14:paraId="5B51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710" w:type="dxa"/>
            <w:vMerge w:val="continue"/>
            <w:shd w:val="clear" w:color="auto" w:fill="FFFFFF"/>
            <w:noWrap/>
            <w:vAlign w:val="center"/>
          </w:tcPr>
          <w:p w14:paraId="2615222D">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u w:val="none"/>
              </w:rPr>
            </w:pPr>
          </w:p>
        </w:tc>
        <w:tc>
          <w:tcPr>
            <w:tcW w:w="1030" w:type="dxa"/>
            <w:vMerge w:val="continue"/>
            <w:noWrap w:val="0"/>
            <w:vAlign w:val="center"/>
          </w:tcPr>
          <w:p w14:paraId="29967604">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auto"/>
                <w:sz w:val="24"/>
                <w:szCs w:val="24"/>
                <w:u w:val="none"/>
              </w:rPr>
            </w:pPr>
          </w:p>
        </w:tc>
        <w:tc>
          <w:tcPr>
            <w:tcW w:w="1786" w:type="dxa"/>
            <w:noWrap w:val="0"/>
            <w:vAlign w:val="center"/>
          </w:tcPr>
          <w:p w14:paraId="691E7F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定制“红医园”文化景观装置</w:t>
            </w:r>
          </w:p>
        </w:tc>
        <w:tc>
          <w:tcPr>
            <w:tcW w:w="5669" w:type="dxa"/>
            <w:noWrap w:val="0"/>
            <w:vAlign w:val="center"/>
          </w:tcPr>
          <w:p w14:paraId="12E84E4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1.1.2mm镀锌板异型数控激光雕刻，整体焊接造型，内置加强骨架，边角点焊工艺，打磨，底漆两遍，整体喷涂面漆两遍UV画面。                                       2.配置地面射灯亮化氛围不少于10盏（人工现场预埋接线）      </w:t>
            </w:r>
          </w:p>
          <w:p w14:paraId="3182307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3.出厂运输，现场人工安装，现场深挖预埋，预制钢板、混凝土预埋。预埋表面回填。</w:t>
            </w:r>
          </w:p>
        </w:tc>
      </w:tr>
      <w:tr w14:paraId="4326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shd w:val="clear" w:color="auto" w:fill="FFFFFF"/>
            <w:noWrap/>
            <w:vAlign w:val="center"/>
          </w:tcPr>
          <w:p w14:paraId="79930468">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u w:val="none"/>
              </w:rPr>
            </w:pPr>
          </w:p>
        </w:tc>
        <w:tc>
          <w:tcPr>
            <w:tcW w:w="1030" w:type="dxa"/>
            <w:vMerge w:val="continue"/>
            <w:shd w:val="clear" w:color="auto" w:fill="auto"/>
            <w:noWrap w:val="0"/>
            <w:vAlign w:val="center"/>
          </w:tcPr>
          <w:p w14:paraId="7183881E">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auto"/>
                <w:sz w:val="24"/>
                <w:szCs w:val="24"/>
                <w:u w:val="none"/>
              </w:rPr>
            </w:pPr>
          </w:p>
        </w:tc>
        <w:tc>
          <w:tcPr>
            <w:tcW w:w="1786" w:type="dxa"/>
            <w:shd w:val="clear" w:color="auto" w:fill="FFFFFF"/>
            <w:noWrap w:val="0"/>
            <w:vAlign w:val="center"/>
          </w:tcPr>
          <w:p w14:paraId="156E31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定制“红医园”五角星景观造型</w:t>
            </w:r>
          </w:p>
        </w:tc>
        <w:tc>
          <w:tcPr>
            <w:tcW w:w="5669" w:type="dxa"/>
            <w:shd w:val="clear" w:color="auto" w:fill="FFFFFF"/>
            <w:noWrap w:val="0"/>
            <w:vAlign w:val="center"/>
          </w:tcPr>
          <w:p w14:paraId="094A111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1.1.2mm镀锌板异型数控激光雕刻，整体焊接造型，内置加强骨架，边角点焊工艺，打磨，底漆两遍，整体喷涂面漆两遍。内置户外专用LED灯珠，专用电源。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2.出厂运输，现场人工安装，吊车安装，现场深挖预埋，预制钢板、混凝土预埋。预埋表面回填。</w:t>
            </w:r>
          </w:p>
        </w:tc>
      </w:tr>
      <w:tr w14:paraId="1C69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710" w:type="dxa"/>
            <w:vMerge w:val="continue"/>
            <w:shd w:val="clear" w:color="auto" w:fill="FFFFFF"/>
            <w:noWrap/>
            <w:vAlign w:val="center"/>
          </w:tcPr>
          <w:p w14:paraId="35971FB4">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u w:val="none"/>
              </w:rPr>
            </w:pPr>
          </w:p>
        </w:tc>
        <w:tc>
          <w:tcPr>
            <w:tcW w:w="1030" w:type="dxa"/>
            <w:vMerge w:val="continue"/>
            <w:shd w:val="clear" w:color="auto" w:fill="auto"/>
            <w:noWrap w:val="0"/>
            <w:vAlign w:val="center"/>
          </w:tcPr>
          <w:p w14:paraId="0BFAD455">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auto"/>
                <w:sz w:val="24"/>
                <w:szCs w:val="24"/>
                <w:u w:val="none"/>
              </w:rPr>
            </w:pPr>
          </w:p>
        </w:tc>
        <w:tc>
          <w:tcPr>
            <w:tcW w:w="1786" w:type="dxa"/>
            <w:shd w:val="clear" w:color="auto" w:fill="FFFFFF"/>
            <w:noWrap w:val="0"/>
            <w:vAlign w:val="center"/>
          </w:tcPr>
          <w:p w14:paraId="25F6FDF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定制“红医园”文化景观主体框架</w:t>
            </w:r>
          </w:p>
        </w:tc>
        <w:tc>
          <w:tcPr>
            <w:tcW w:w="5669" w:type="dxa"/>
            <w:shd w:val="clear" w:color="auto" w:fill="FFFFFF"/>
            <w:noWrap w:val="0"/>
            <w:vAlign w:val="center"/>
          </w:tcPr>
          <w:p w14:paraId="1B37DBA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1.1.2mm镀锌板异型数控激光雕刻，整体焊接造型，内置加强骨架，边角点焊工艺，打磨，底漆两遍，整体喷涂面漆两遍，面贴12mm高密度PVC立体雕刻造型UV画面。                              </w:t>
            </w:r>
          </w:p>
          <w:p w14:paraId="57C10E92">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lang w:val="en-US" w:eastAsia="zh-CN" w:bidi="ar"/>
              </w:rPr>
              <w:t>2.</w:t>
            </w:r>
            <w:r>
              <w:rPr>
                <w:rFonts w:hint="eastAsia" w:ascii="宋体" w:hAnsi="宋体" w:eastAsia="宋体" w:cs="宋体"/>
                <w:i w:val="0"/>
                <w:iCs w:val="0"/>
                <w:color w:val="auto"/>
                <w:kern w:val="0"/>
                <w:sz w:val="24"/>
                <w:szCs w:val="24"/>
                <w:u w:val="none"/>
                <w:lang w:val="en-US" w:eastAsia="zh-CN" w:bidi="ar"/>
              </w:rPr>
              <w:t>出厂运输，现场人工安装，吊车安装，现场深挖预埋，预制钢板、混凝土预埋。预埋表面回填。</w:t>
            </w:r>
          </w:p>
        </w:tc>
      </w:tr>
      <w:tr w14:paraId="5C3A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710" w:type="dxa"/>
            <w:shd w:val="clear" w:color="auto" w:fill="FFFFFF"/>
            <w:noWrap/>
            <w:vAlign w:val="center"/>
          </w:tcPr>
          <w:p w14:paraId="682DEE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030" w:type="dxa"/>
            <w:noWrap w:val="0"/>
            <w:vAlign w:val="center"/>
          </w:tcPr>
          <w:p w14:paraId="36863FC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家书林</w:t>
            </w:r>
          </w:p>
        </w:tc>
        <w:tc>
          <w:tcPr>
            <w:tcW w:w="1786" w:type="dxa"/>
            <w:noWrap w:val="0"/>
            <w:vAlign w:val="center"/>
          </w:tcPr>
          <w:p w14:paraId="35F5788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家书林“红色家书”文化艺术景观</w:t>
            </w:r>
          </w:p>
        </w:tc>
        <w:tc>
          <w:tcPr>
            <w:tcW w:w="5669" w:type="dxa"/>
            <w:noWrap w:val="0"/>
            <w:vAlign w:val="center"/>
          </w:tcPr>
          <w:p w14:paraId="7638E70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1.1.2mm镀锌板异型数控激光雕刻，整体焊接造型，内置加强骨架，边角点焊工艺，打磨，底漆两遍，整体喷涂面漆两遍uv画面。                                                 2.出厂运输，现场人工安装，现场深挖预埋，预制钢板、混凝土预埋。预埋表面回填。</w:t>
            </w:r>
          </w:p>
        </w:tc>
      </w:tr>
      <w:tr w14:paraId="435B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710" w:type="dxa"/>
            <w:shd w:val="clear" w:color="auto" w:fill="FFFFFF"/>
            <w:noWrap/>
            <w:vAlign w:val="center"/>
          </w:tcPr>
          <w:p w14:paraId="494831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030" w:type="dxa"/>
            <w:noWrap w:val="0"/>
            <w:vAlign w:val="center"/>
          </w:tcPr>
          <w:p w14:paraId="73FAD2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薪火传承广场</w:t>
            </w:r>
          </w:p>
        </w:tc>
        <w:tc>
          <w:tcPr>
            <w:tcW w:w="1786" w:type="dxa"/>
            <w:noWrap w:val="0"/>
            <w:vAlign w:val="center"/>
          </w:tcPr>
          <w:p w14:paraId="00CB3B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“精神谱系”文化艺术景观</w:t>
            </w:r>
          </w:p>
        </w:tc>
        <w:tc>
          <w:tcPr>
            <w:tcW w:w="5669" w:type="dxa"/>
            <w:noWrap w:val="0"/>
            <w:vAlign w:val="center"/>
          </w:tcPr>
          <w:p w14:paraId="5548979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1.1.2mm镀锌板异型数控激光雕刻，整体焊接造型，内置加强骨架，边角点焊工艺，打磨，底漆两遍，整体喷涂面漆两遍，面贴金属片立体字。                                         2.出厂运输，现场人工安装，现场深挖预埋，预制钢板、混凝土预埋。预埋表面回填。</w:t>
            </w:r>
          </w:p>
        </w:tc>
      </w:tr>
      <w:tr w14:paraId="3309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710" w:type="dxa"/>
            <w:vMerge w:val="restart"/>
            <w:shd w:val="clear" w:color="auto" w:fill="FFFFFF"/>
            <w:noWrap/>
            <w:vAlign w:val="center"/>
          </w:tcPr>
          <w:p w14:paraId="2EB38B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030" w:type="dxa"/>
            <w:vMerge w:val="restart"/>
            <w:noWrap w:val="0"/>
            <w:vAlign w:val="center"/>
          </w:tcPr>
          <w:p w14:paraId="43579A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丹曦廊</w:t>
            </w:r>
          </w:p>
        </w:tc>
        <w:tc>
          <w:tcPr>
            <w:tcW w:w="1786" w:type="dxa"/>
            <w:noWrap w:val="0"/>
            <w:vAlign w:val="center"/>
          </w:tcPr>
          <w:p w14:paraId="581721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定制“丹曦廊”文化景观主体框</w:t>
            </w:r>
          </w:p>
        </w:tc>
        <w:tc>
          <w:tcPr>
            <w:tcW w:w="5669" w:type="dxa"/>
            <w:noWrap w:val="0"/>
            <w:vAlign w:val="center"/>
          </w:tcPr>
          <w:p w14:paraId="113F5A8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1.1.2mm镀锌板异型数控激光雕刻，整体焊接造型，内置加强骨架，边角点焊工艺，打磨，底漆两遍，整体喷涂面漆两遍。                                             2.出厂运输，现场人工安装，吊车安装，现场深挖预埋，预制钢板、混凝土预埋。预埋表面回填。</w:t>
            </w:r>
          </w:p>
        </w:tc>
      </w:tr>
      <w:tr w14:paraId="0D33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710" w:type="dxa"/>
            <w:vMerge w:val="continue"/>
            <w:shd w:val="clear" w:color="auto" w:fill="FFFFFF"/>
            <w:noWrap/>
            <w:vAlign w:val="center"/>
          </w:tcPr>
          <w:p w14:paraId="409929B4">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u w:val="none"/>
              </w:rPr>
            </w:pPr>
          </w:p>
        </w:tc>
        <w:tc>
          <w:tcPr>
            <w:tcW w:w="1030" w:type="dxa"/>
            <w:vMerge w:val="continue"/>
            <w:noWrap w:val="0"/>
            <w:vAlign w:val="center"/>
          </w:tcPr>
          <w:p w14:paraId="7F48EAC3">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auto"/>
                <w:sz w:val="24"/>
                <w:szCs w:val="24"/>
                <w:u w:val="none"/>
              </w:rPr>
            </w:pPr>
          </w:p>
        </w:tc>
        <w:tc>
          <w:tcPr>
            <w:tcW w:w="1786" w:type="dxa"/>
            <w:noWrap w:val="0"/>
            <w:vAlign w:val="center"/>
          </w:tcPr>
          <w:p w14:paraId="041745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定制“丹曦廊”文化景观座椅</w:t>
            </w:r>
          </w:p>
        </w:tc>
        <w:tc>
          <w:tcPr>
            <w:tcW w:w="5669" w:type="dxa"/>
            <w:noWrap w:val="0"/>
            <w:vAlign w:val="center"/>
          </w:tcPr>
          <w:p w14:paraId="100B419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1.1.2mm镀锌板异型数控激光雕刻，整体焊接造型，内置加强骨架，边角点焊工艺，打磨，底漆两遍，整体喷涂面漆两遍。                                             2.出厂运输，现场人工安装，吊车安装，现场深挖预埋，预制钢板、混凝土预埋。预埋表面回填。</w:t>
            </w:r>
          </w:p>
        </w:tc>
      </w:tr>
      <w:tr w14:paraId="63CF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shd w:val="clear" w:color="auto" w:fill="FFFFFF"/>
            <w:noWrap/>
            <w:vAlign w:val="center"/>
          </w:tcPr>
          <w:p w14:paraId="512FCA21">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u w:val="none"/>
              </w:rPr>
            </w:pPr>
          </w:p>
        </w:tc>
        <w:tc>
          <w:tcPr>
            <w:tcW w:w="1030" w:type="dxa"/>
            <w:vMerge w:val="continue"/>
            <w:noWrap w:val="0"/>
            <w:vAlign w:val="center"/>
          </w:tcPr>
          <w:p w14:paraId="1B977038">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auto"/>
                <w:sz w:val="24"/>
                <w:szCs w:val="24"/>
                <w:u w:val="none"/>
              </w:rPr>
            </w:pPr>
          </w:p>
        </w:tc>
        <w:tc>
          <w:tcPr>
            <w:tcW w:w="1786" w:type="dxa"/>
            <w:noWrap w:val="0"/>
            <w:vAlign w:val="center"/>
          </w:tcPr>
          <w:p w14:paraId="169CB8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定制“丹曦廊”宣传橱窗展板1</w:t>
            </w:r>
          </w:p>
        </w:tc>
        <w:tc>
          <w:tcPr>
            <w:tcW w:w="5669" w:type="dxa"/>
            <w:noWrap w:val="0"/>
            <w:vAlign w:val="center"/>
          </w:tcPr>
          <w:p w14:paraId="1313FD2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1.12mm高密度PVC立体雕刻造型UV画面3M膜UV打印。                            </w:t>
            </w:r>
          </w:p>
          <w:p w14:paraId="308DD23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2.出厂运输，现场人工安装。</w:t>
            </w:r>
          </w:p>
        </w:tc>
      </w:tr>
      <w:tr w14:paraId="72F6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710" w:type="dxa"/>
            <w:vMerge w:val="continue"/>
            <w:shd w:val="clear" w:color="auto" w:fill="FFFFFF"/>
            <w:noWrap/>
            <w:vAlign w:val="center"/>
          </w:tcPr>
          <w:p w14:paraId="774C4BD3">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u w:val="none"/>
              </w:rPr>
            </w:pPr>
          </w:p>
        </w:tc>
        <w:tc>
          <w:tcPr>
            <w:tcW w:w="1030" w:type="dxa"/>
            <w:vMerge w:val="continue"/>
            <w:noWrap w:val="0"/>
            <w:vAlign w:val="center"/>
          </w:tcPr>
          <w:p w14:paraId="78CD5D97">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auto"/>
                <w:sz w:val="24"/>
                <w:szCs w:val="24"/>
                <w:u w:val="none"/>
              </w:rPr>
            </w:pPr>
          </w:p>
        </w:tc>
        <w:tc>
          <w:tcPr>
            <w:tcW w:w="1786" w:type="dxa"/>
            <w:noWrap w:val="0"/>
            <w:vAlign w:val="center"/>
          </w:tcPr>
          <w:p w14:paraId="7F49FBD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定制“丹曦廊”宣传橱窗展板2</w:t>
            </w:r>
          </w:p>
        </w:tc>
        <w:tc>
          <w:tcPr>
            <w:tcW w:w="5669" w:type="dxa"/>
            <w:noWrap w:val="0"/>
            <w:vAlign w:val="center"/>
          </w:tcPr>
          <w:p w14:paraId="171825C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1.12mm高密度PVC立体雕刻造型UV画面，3M膜UV打印。                            </w:t>
            </w:r>
          </w:p>
          <w:p w14:paraId="2EEA5C3E">
            <w:pPr>
              <w:keepNext w:val="0"/>
              <w:keepLines w:val="0"/>
              <w:pageBreakBefore w:val="0"/>
              <w:widowControl/>
              <w:numPr>
                <w:ilvl w:val="0"/>
                <w:numId w:val="1"/>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出厂运输，现场人工安装</w:t>
            </w:r>
          </w:p>
        </w:tc>
      </w:tr>
      <w:tr w14:paraId="483D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710" w:type="dxa"/>
            <w:shd w:val="clear" w:color="auto" w:fill="FFFFFF"/>
            <w:noWrap/>
            <w:vAlign w:val="center"/>
          </w:tcPr>
          <w:p w14:paraId="1495DE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030" w:type="dxa"/>
            <w:noWrap w:val="0"/>
            <w:vAlign w:val="center"/>
          </w:tcPr>
          <w:p w14:paraId="09E8E6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履实台</w:t>
            </w:r>
          </w:p>
        </w:tc>
        <w:tc>
          <w:tcPr>
            <w:tcW w:w="1786" w:type="dxa"/>
            <w:noWrap w:val="0"/>
            <w:vAlign w:val="center"/>
          </w:tcPr>
          <w:p w14:paraId="3D7792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定制励志名言警句立体造型字</w:t>
            </w:r>
          </w:p>
        </w:tc>
        <w:tc>
          <w:tcPr>
            <w:tcW w:w="5669" w:type="dxa"/>
            <w:noWrap w:val="0"/>
            <w:vAlign w:val="center"/>
          </w:tcPr>
          <w:p w14:paraId="769AEE1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1.铁艺立体造型字                                         2.出厂运输，现场人工安装</w:t>
            </w:r>
          </w:p>
        </w:tc>
      </w:tr>
      <w:tr w14:paraId="7B9D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710" w:type="dxa"/>
            <w:shd w:val="clear" w:color="auto" w:fill="FFFFFF"/>
            <w:noWrap/>
            <w:vAlign w:val="center"/>
          </w:tcPr>
          <w:p w14:paraId="62523D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1030" w:type="dxa"/>
            <w:noWrap w:val="0"/>
            <w:vAlign w:val="center"/>
          </w:tcPr>
          <w:p w14:paraId="2420B35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赤履场</w:t>
            </w:r>
          </w:p>
        </w:tc>
        <w:tc>
          <w:tcPr>
            <w:tcW w:w="1786" w:type="dxa"/>
            <w:noWrap w:val="0"/>
            <w:vAlign w:val="center"/>
          </w:tcPr>
          <w:p w14:paraId="27ECA4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运动文化景观艺术小品</w:t>
            </w:r>
          </w:p>
        </w:tc>
        <w:tc>
          <w:tcPr>
            <w:tcW w:w="5669" w:type="dxa"/>
            <w:noWrap w:val="0"/>
            <w:vAlign w:val="center"/>
          </w:tcPr>
          <w:p w14:paraId="1584801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1.1.2mm镀锌板异型数控激光雕刻，整体焊接造型，内置加强骨架，边角点焊工艺，打磨，底漆两遍，整体喷涂面漆两遍。                                              2.出厂运输，现场人工安装，现场深挖预埋，预制钢板、混凝土预埋。预埋表面回填。</w:t>
            </w:r>
          </w:p>
        </w:tc>
      </w:tr>
      <w:tr w14:paraId="5C5F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710" w:type="dxa"/>
            <w:shd w:val="clear" w:color="auto" w:fill="FFFFFF"/>
            <w:noWrap/>
            <w:vAlign w:val="center"/>
          </w:tcPr>
          <w:p w14:paraId="169859C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030" w:type="dxa"/>
            <w:noWrap w:val="0"/>
            <w:vAlign w:val="center"/>
          </w:tcPr>
          <w:p w14:paraId="19F1831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启心园</w:t>
            </w:r>
          </w:p>
        </w:tc>
        <w:tc>
          <w:tcPr>
            <w:tcW w:w="1786" w:type="dxa"/>
            <w:noWrap w:val="0"/>
            <w:vAlign w:val="center"/>
          </w:tcPr>
          <w:p w14:paraId="3BE285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“启心园”文化艺术景观</w:t>
            </w:r>
          </w:p>
        </w:tc>
        <w:tc>
          <w:tcPr>
            <w:tcW w:w="5669" w:type="dxa"/>
            <w:noWrap w:val="0"/>
            <w:vAlign w:val="center"/>
          </w:tcPr>
          <w:p w14:paraId="207FCAB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1.1.2mm镀锌板异型数控激光雕刻，整体焊接造型，内置加强骨架，边角点焊工艺，打磨，底漆两遍，整体喷涂面漆两遍,面贴12mm高密度PVCuv画面，面贴铁艺立体造型字。                                2.出厂运输，现场人工安装，现场深挖预埋，预制钢板、混凝土预埋。预埋表面回填。</w:t>
            </w:r>
          </w:p>
        </w:tc>
      </w:tr>
      <w:tr w14:paraId="47B0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710" w:type="dxa"/>
            <w:shd w:val="clear" w:color="auto" w:fill="FFFFFF"/>
            <w:noWrap/>
            <w:vAlign w:val="center"/>
          </w:tcPr>
          <w:p w14:paraId="6EFA68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1030" w:type="dxa"/>
            <w:noWrap w:val="0"/>
            <w:vAlign w:val="center"/>
          </w:tcPr>
          <w:p w14:paraId="7E4DDA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初心驿</w:t>
            </w:r>
          </w:p>
        </w:tc>
        <w:tc>
          <w:tcPr>
            <w:tcW w:w="1786" w:type="dxa"/>
            <w:noWrap w:val="0"/>
            <w:vAlign w:val="center"/>
          </w:tcPr>
          <w:p w14:paraId="6ECF33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“初心驿”文化艺术景观</w:t>
            </w:r>
          </w:p>
        </w:tc>
        <w:tc>
          <w:tcPr>
            <w:tcW w:w="5669" w:type="dxa"/>
            <w:noWrap w:val="0"/>
            <w:vAlign w:val="center"/>
          </w:tcPr>
          <w:p w14:paraId="0AF427A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1.1.2mm镀锌板异型数控激光雕刻，整体焊接造型，内置加强骨架，边角点焊工艺，打磨，底漆两遍，整体喷涂面漆两遍，uv画面，面贴铁艺立体字。                                 2.出厂运输，现场人工安装，现场深挖预埋，预制钢板、混凝土预埋。预埋表面回填。</w:t>
            </w:r>
          </w:p>
        </w:tc>
      </w:tr>
      <w:tr w14:paraId="20D2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710" w:type="dxa"/>
            <w:shd w:val="clear" w:color="auto" w:fill="FFFFFF"/>
            <w:noWrap/>
            <w:vAlign w:val="center"/>
          </w:tcPr>
          <w:p w14:paraId="26A884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12</w:t>
            </w:r>
          </w:p>
        </w:tc>
        <w:tc>
          <w:tcPr>
            <w:tcW w:w="1030" w:type="dxa"/>
            <w:noWrap w:val="0"/>
            <w:vAlign w:val="center"/>
          </w:tcPr>
          <w:p w14:paraId="766A8D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撷英廊</w:t>
            </w:r>
          </w:p>
        </w:tc>
        <w:tc>
          <w:tcPr>
            <w:tcW w:w="1786" w:type="dxa"/>
            <w:noWrap w:val="0"/>
            <w:vAlign w:val="center"/>
          </w:tcPr>
          <w:p w14:paraId="5E6155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定制文化宣传展板（双面画面）</w:t>
            </w:r>
          </w:p>
        </w:tc>
        <w:tc>
          <w:tcPr>
            <w:tcW w:w="5669" w:type="dxa"/>
            <w:noWrap w:val="0"/>
            <w:vAlign w:val="center"/>
          </w:tcPr>
          <w:p w14:paraId="09ABB00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1.1.2mm镀锌板异型数控激光雕刻，整体焊接造型，内置加强骨架，边角点焊工艺，打磨，底漆两遍，整体喷涂面漆两遍。面贴12mm高密度PVC立体雕刻造型UV画面。                                </w:t>
            </w:r>
          </w:p>
          <w:p w14:paraId="375BBA7A">
            <w:pPr>
              <w:keepNext w:val="0"/>
              <w:keepLines w:val="0"/>
              <w:pageBreakBefore w:val="0"/>
              <w:widowControl/>
              <w:numPr>
                <w:ilvl w:val="0"/>
                <w:numId w:val="2"/>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出厂运输，现场人工安装。</w:t>
            </w:r>
          </w:p>
        </w:tc>
      </w:tr>
      <w:tr w14:paraId="2575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10" w:type="dxa"/>
            <w:shd w:val="clear" w:color="auto" w:fill="FFFFFF"/>
            <w:noWrap/>
            <w:vAlign w:val="center"/>
          </w:tcPr>
          <w:p w14:paraId="633B0F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13</w:t>
            </w:r>
          </w:p>
        </w:tc>
        <w:tc>
          <w:tcPr>
            <w:tcW w:w="1030" w:type="dxa"/>
            <w:noWrap w:val="0"/>
            <w:vAlign w:val="center"/>
          </w:tcPr>
          <w:p w14:paraId="6C81AB0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鹤鸣廊</w:t>
            </w:r>
          </w:p>
        </w:tc>
        <w:tc>
          <w:tcPr>
            <w:tcW w:w="1786" w:type="dxa"/>
            <w:noWrap w:val="0"/>
            <w:vAlign w:val="center"/>
          </w:tcPr>
          <w:p w14:paraId="0BCA82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定制文化宣传展板（双面画面）</w:t>
            </w:r>
          </w:p>
        </w:tc>
        <w:tc>
          <w:tcPr>
            <w:tcW w:w="5669" w:type="dxa"/>
            <w:noWrap w:val="0"/>
            <w:vAlign w:val="center"/>
          </w:tcPr>
          <w:p w14:paraId="514C689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1.1.2mm镀锌板异型数控激光雕刻，整体焊接造型，内置加强骨架，边角点焊工艺，打磨，底漆两遍，整体喷涂面漆金属漆两遍。面贴12mm高密度PVC立体雕刻造型UV画面。                                            2.出厂运输，现场人工安装。</w:t>
            </w:r>
          </w:p>
        </w:tc>
      </w:tr>
      <w:tr w14:paraId="128F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710" w:type="dxa"/>
            <w:shd w:val="clear" w:color="auto" w:fill="FFFFFF"/>
            <w:noWrap/>
            <w:vAlign w:val="center"/>
          </w:tcPr>
          <w:p w14:paraId="7972C4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14</w:t>
            </w:r>
          </w:p>
        </w:tc>
        <w:tc>
          <w:tcPr>
            <w:tcW w:w="1030" w:type="dxa"/>
            <w:shd w:val="clear" w:color="auto" w:fill="auto"/>
            <w:noWrap w:val="0"/>
            <w:vAlign w:val="center"/>
          </w:tcPr>
          <w:p w14:paraId="3171B6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蕙风庭</w:t>
            </w:r>
          </w:p>
        </w:tc>
        <w:tc>
          <w:tcPr>
            <w:tcW w:w="1786" w:type="dxa"/>
            <w:shd w:val="clear" w:color="auto" w:fill="FFFFFF"/>
            <w:noWrap w:val="0"/>
            <w:vAlign w:val="center"/>
          </w:tcPr>
          <w:p w14:paraId="2D791FC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“蕙风庭”文化艺术景观造型</w:t>
            </w:r>
          </w:p>
        </w:tc>
        <w:tc>
          <w:tcPr>
            <w:tcW w:w="5669" w:type="dxa"/>
            <w:noWrap w:val="0"/>
            <w:vAlign w:val="center"/>
          </w:tcPr>
          <w:p w14:paraId="6ADE79A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1.1.2mm镀锌板异型数控激光雕刻，整体焊接造型，内置加强骨架，边角点焊工艺，打磨，底漆两遍，整体喷涂面漆两遍,铁艺立体造型字。                                         2.出厂运输，现场人工安装，吊车安装，现场深挖预埋，预制钢板、混凝土预埋。预埋表面回填。</w:t>
            </w:r>
          </w:p>
        </w:tc>
      </w:tr>
      <w:tr w14:paraId="59D8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710" w:type="dxa"/>
            <w:vMerge w:val="restart"/>
            <w:shd w:val="clear" w:color="auto" w:fill="FFFFFF"/>
            <w:noWrap/>
            <w:vAlign w:val="center"/>
          </w:tcPr>
          <w:p w14:paraId="4D42FA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15</w:t>
            </w:r>
          </w:p>
        </w:tc>
        <w:tc>
          <w:tcPr>
            <w:tcW w:w="1030" w:type="dxa"/>
            <w:vMerge w:val="restart"/>
            <w:noWrap w:val="0"/>
            <w:vAlign w:val="center"/>
          </w:tcPr>
          <w:p w14:paraId="2C53A7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清阳步道</w:t>
            </w:r>
          </w:p>
        </w:tc>
        <w:tc>
          <w:tcPr>
            <w:tcW w:w="1786" w:type="dxa"/>
            <w:noWrap w:val="0"/>
            <w:vAlign w:val="center"/>
          </w:tcPr>
          <w:p w14:paraId="4B84F2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定制“现代医学发展”文化艺术景观</w:t>
            </w:r>
          </w:p>
        </w:tc>
        <w:tc>
          <w:tcPr>
            <w:tcW w:w="5669" w:type="dxa"/>
            <w:noWrap w:val="0"/>
            <w:vAlign w:val="center"/>
          </w:tcPr>
          <w:p w14:paraId="1AD9D8A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1.1.2mm镀锌板异型数控激光雕刻，整体焊接造型，内置加强骨架，边角点焊工艺，打磨，底漆两遍，整体喷涂面漆两遍,铁艺立体造型字。                                        2.出厂运输，现场人工安装，现场深挖预埋，预制钢板、混凝土预埋。预埋表面回填。</w:t>
            </w:r>
          </w:p>
        </w:tc>
      </w:tr>
      <w:tr w14:paraId="6BF2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710" w:type="dxa"/>
            <w:vMerge w:val="continue"/>
            <w:shd w:val="clear" w:color="auto" w:fill="FFFFFF"/>
            <w:noWrap/>
            <w:vAlign w:val="center"/>
          </w:tcPr>
          <w:p w14:paraId="60B717D6">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u w:val="none"/>
              </w:rPr>
            </w:pPr>
          </w:p>
        </w:tc>
        <w:tc>
          <w:tcPr>
            <w:tcW w:w="1030" w:type="dxa"/>
            <w:vMerge w:val="continue"/>
            <w:noWrap w:val="0"/>
            <w:vAlign w:val="center"/>
          </w:tcPr>
          <w:p w14:paraId="5BCCB190">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bCs/>
                <w:i w:val="0"/>
                <w:iCs w:val="0"/>
                <w:color w:val="auto"/>
                <w:sz w:val="24"/>
                <w:szCs w:val="24"/>
                <w:u w:val="none"/>
              </w:rPr>
            </w:pPr>
          </w:p>
        </w:tc>
        <w:tc>
          <w:tcPr>
            <w:tcW w:w="1786" w:type="dxa"/>
            <w:noWrap w:val="0"/>
            <w:vAlign w:val="center"/>
          </w:tcPr>
          <w:p w14:paraId="1C8954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定制“风铃”文化艺术景观</w:t>
            </w:r>
          </w:p>
        </w:tc>
        <w:tc>
          <w:tcPr>
            <w:tcW w:w="5669" w:type="dxa"/>
            <w:noWrap w:val="0"/>
            <w:vAlign w:val="center"/>
          </w:tcPr>
          <w:p w14:paraId="314F4BA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1.1.2mm镀锌板异型数控激光雕刻，整体焊接造型，内置加强骨架，边角点焊工艺，打磨，底漆两遍，整体喷涂面漆两遍。定制金属铃铛造型挂件。                                             2.出厂运输，现场人工安装，现场深挖预埋，预制钢板、混凝土预埋。预埋表面回填。</w:t>
            </w:r>
          </w:p>
        </w:tc>
      </w:tr>
    </w:tbl>
    <w:p w14:paraId="31601FB0">
      <w:pPr>
        <w:keepNext w:val="0"/>
        <w:keepLines w:val="0"/>
        <w:pageBreakBefore w:val="0"/>
        <w:widowControl w:val="0"/>
        <w:kinsoku/>
        <w:wordWrap/>
        <w:overflowPunct/>
        <w:topLinePunct w:val="0"/>
        <w:autoSpaceDE/>
        <w:autoSpaceDN/>
        <w:bidi w:val="0"/>
        <w:adjustRightInd/>
        <w:snapToGrid/>
        <w:spacing w:before="78" w:line="221" w:lineRule="auto"/>
        <w:ind w:firstLine="474" w:firstLineChars="200"/>
        <w:jc w:val="both"/>
        <w:textAlignment w:val="auto"/>
        <w:outlineLvl w:val="9"/>
        <w:rPr>
          <w:rFonts w:hint="eastAsia" w:ascii="宋体" w:hAnsi="宋体" w:eastAsia="宋体" w:cs="宋体"/>
          <w:b/>
          <w:bCs/>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其他</w:t>
      </w:r>
      <w:r>
        <w:rPr>
          <w:rFonts w:hint="eastAsia" w:ascii="宋体" w:hAnsi="宋体" w:eastAsia="宋体" w:cs="宋体"/>
          <w:b/>
          <w:bCs/>
          <w:color w:val="auto"/>
          <w:spacing w:val="-2"/>
          <w:sz w:val="24"/>
          <w:szCs w:val="24"/>
          <w:highlight w:val="none"/>
        </w:rPr>
        <w:t>要求</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rPr>
        <w:tab/>
      </w:r>
    </w:p>
    <w:p w14:paraId="55DBEB23">
      <w:pPr>
        <w:keepNext w:val="0"/>
        <w:keepLines w:val="0"/>
        <w:pageBreakBefore w:val="0"/>
        <w:widowControl w:val="0"/>
        <w:kinsoku/>
        <w:wordWrap/>
        <w:overflowPunct/>
        <w:topLinePunct w:val="0"/>
        <w:autoSpaceDE/>
        <w:autoSpaceDN/>
        <w:bidi w:val="0"/>
        <w:adjustRightInd/>
        <w:snapToGrid w:val="0"/>
        <w:spacing w:line="440" w:lineRule="exact"/>
        <w:ind w:firstLine="476" w:firstLineChars="200"/>
        <w:jc w:val="left"/>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1.供应商具有专业团队，拟派项目成员至少包含1名设计专业的设计师，1名焊工。</w:t>
      </w:r>
    </w:p>
    <w:p w14:paraId="43FD2BD9">
      <w:pPr>
        <w:keepNext w:val="0"/>
        <w:keepLines w:val="0"/>
        <w:pageBreakBefore w:val="0"/>
        <w:widowControl w:val="0"/>
        <w:kinsoku/>
        <w:wordWrap/>
        <w:overflowPunct/>
        <w:topLinePunct w:val="0"/>
        <w:autoSpaceDE/>
        <w:autoSpaceDN/>
        <w:bidi w:val="0"/>
        <w:adjustRightInd/>
        <w:snapToGrid w:val="0"/>
        <w:spacing w:line="440" w:lineRule="exact"/>
        <w:ind w:firstLine="478" w:firstLineChars="200"/>
        <w:jc w:val="left"/>
        <w:textAlignment w:val="auto"/>
        <w:rPr>
          <w:rFonts w:hint="default" w:ascii="宋体" w:hAnsi="宋体" w:eastAsia="宋体" w:cs="Times New Roman"/>
          <w:b/>
          <w:bCs w:val="0"/>
          <w:color w:val="auto"/>
          <w:kern w:val="2"/>
          <w:sz w:val="24"/>
          <w:szCs w:val="21"/>
          <w:highlight w:val="none"/>
          <w:lang w:val="en-US" w:eastAsia="zh-CN" w:bidi="ar-SA"/>
        </w:rPr>
      </w:pPr>
      <w:r>
        <w:rPr>
          <w:rFonts w:hint="eastAsia" w:ascii="宋体" w:hAnsi="宋体" w:eastAsia="宋体" w:cs="Times New Roman"/>
          <w:b/>
          <w:bCs w:val="0"/>
          <w:color w:val="auto"/>
          <w:kern w:val="2"/>
          <w:sz w:val="24"/>
          <w:szCs w:val="21"/>
          <w:highlight w:val="none"/>
          <w:lang w:val="en-US" w:eastAsia="zh-CN" w:bidi="ar-SA"/>
        </w:rPr>
        <w:t>（注：响应文件中提供设计师的毕业证书扫描件加盖供应商单位公章；响应文件中提供焊工的焊工证证书扫描件加盖供应商单位公章）</w:t>
      </w:r>
    </w:p>
    <w:p w14:paraId="03C9F21F">
      <w:pPr>
        <w:keepNext w:val="0"/>
        <w:keepLines w:val="0"/>
        <w:pageBreakBefore w:val="0"/>
        <w:widowControl w:val="0"/>
        <w:kinsoku/>
        <w:wordWrap/>
        <w:overflowPunct/>
        <w:topLinePunct w:val="0"/>
        <w:autoSpaceDE/>
        <w:autoSpaceDN/>
        <w:bidi w:val="0"/>
        <w:adjustRightInd/>
        <w:snapToGrid w:val="0"/>
        <w:spacing w:line="440" w:lineRule="exact"/>
        <w:ind w:firstLine="476" w:firstLineChars="200"/>
        <w:jc w:val="left"/>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2.供应商专业团队应具有展览策划、艺术创意设计、展览展示能力。</w:t>
      </w:r>
    </w:p>
    <w:p w14:paraId="649B3142">
      <w:pPr>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cs="宋体"/>
          <w:b/>
          <w:bCs/>
          <w:color w:val="auto"/>
          <w:spacing w:val="2"/>
          <w:kern w:val="0"/>
          <w:sz w:val="24"/>
          <w:highlight w:val="none"/>
        </w:rPr>
      </w:pPr>
      <w:r>
        <w:rPr>
          <w:rFonts w:hint="eastAsia" w:ascii="宋体" w:hAnsi="宋体"/>
          <w:b/>
          <w:color w:val="auto"/>
          <w:sz w:val="24"/>
          <w:highlight w:val="none"/>
        </w:rPr>
        <w:t>注：</w:t>
      </w:r>
      <w:r>
        <w:rPr>
          <w:rFonts w:hint="eastAsia" w:ascii="宋体" w:hAnsi="宋体"/>
          <w:b/>
          <w:color w:val="auto"/>
          <w:sz w:val="24"/>
          <w:highlight w:val="none"/>
          <w:lang w:val="en-US" w:eastAsia="zh-CN"/>
        </w:rPr>
        <w:t>1.</w:t>
      </w:r>
      <w:r>
        <w:rPr>
          <w:rFonts w:hint="eastAsia" w:ascii="宋体" w:hAnsi="宋体"/>
          <w:b/>
          <w:color w:val="auto"/>
          <w:sz w:val="24"/>
          <w:highlight w:val="none"/>
        </w:rPr>
        <w:t>以上“技术要求”为实质性要求，必须完全满足，否则响应无效。</w:t>
      </w:r>
    </w:p>
    <w:p w14:paraId="7963F28C">
      <w:pPr>
        <w:keepNext w:val="0"/>
        <w:keepLines w:val="0"/>
        <w:pageBreakBefore w:val="0"/>
        <w:widowControl w:val="0"/>
        <w:kinsoku w:val="0"/>
        <w:wordWrap/>
        <w:overflowPunct/>
        <w:topLinePunct w:val="0"/>
        <w:autoSpaceDE w:val="0"/>
        <w:autoSpaceDN w:val="0"/>
        <w:bidi w:val="0"/>
        <w:adjustRightInd w:val="0"/>
        <w:snapToGrid w:val="0"/>
        <w:spacing w:line="242" w:lineRule="auto"/>
        <w:ind w:firstLine="478" w:firstLineChars="200"/>
        <w:textAlignment w:val="baseline"/>
        <w:rPr>
          <w:rFonts w:hint="eastAsia"/>
          <w:b/>
          <w:bCs/>
          <w:color w:val="auto"/>
          <w:lang w:eastAsia="zh-CN"/>
        </w:rPr>
      </w:pPr>
      <w:r>
        <w:rPr>
          <w:rFonts w:hint="eastAsia" w:ascii="宋体" w:hAnsi="宋体" w:eastAsia="宋体" w:cs="Times New Roman"/>
          <w:b/>
          <w:bCs w:val="0"/>
          <w:color w:val="auto"/>
          <w:kern w:val="2"/>
          <w:sz w:val="24"/>
          <w:szCs w:val="21"/>
          <w:highlight w:val="none"/>
          <w:lang w:val="en-US" w:eastAsia="zh-CN" w:bidi="ar-SA"/>
        </w:rPr>
        <w:t>2.以上规格尺寸及镀锌板厚度允许正负偏离5%。</w:t>
      </w:r>
    </w:p>
    <w:p w14:paraId="7D143875">
      <w:pPr>
        <w:keepNext w:val="0"/>
        <w:keepLines w:val="0"/>
        <w:pageBreakBefore w:val="0"/>
        <w:widowControl w:val="0"/>
        <w:kinsoku w:val="0"/>
        <w:wordWrap/>
        <w:overflowPunct/>
        <w:topLinePunct w:val="0"/>
        <w:autoSpaceDE w:val="0"/>
        <w:autoSpaceDN w:val="0"/>
        <w:bidi w:val="0"/>
        <w:adjustRightInd w:val="0"/>
        <w:snapToGrid w:val="0"/>
        <w:spacing w:line="242" w:lineRule="auto"/>
        <w:ind w:firstLine="478" w:firstLineChars="200"/>
        <w:textAlignment w:val="baseline"/>
        <w:rPr>
          <w:rFonts w:hint="eastAsia"/>
          <w:b/>
          <w:bCs/>
          <w:color w:val="auto"/>
          <w:lang w:eastAsia="zh-CN"/>
        </w:rPr>
      </w:pPr>
    </w:p>
    <w:p w14:paraId="53DD6EA1">
      <w:pPr>
        <w:keepNext w:val="0"/>
        <w:keepLines w:val="0"/>
        <w:pageBreakBefore w:val="0"/>
        <w:widowControl w:val="0"/>
        <w:kinsoku w:val="0"/>
        <w:wordWrap/>
        <w:overflowPunct/>
        <w:topLinePunct w:val="0"/>
        <w:autoSpaceDE w:val="0"/>
        <w:autoSpaceDN w:val="0"/>
        <w:bidi w:val="0"/>
        <w:adjustRightInd w:val="0"/>
        <w:snapToGrid w:val="0"/>
        <w:spacing w:line="240" w:lineRule="auto"/>
        <w:ind w:firstLine="478" w:firstLineChars="200"/>
        <w:textAlignment w:val="baseline"/>
        <w:rPr>
          <w:rFonts w:hint="default" w:eastAsia="宋体"/>
          <w:b/>
          <w:bCs/>
          <w:color w:val="auto"/>
          <w:lang w:val="en-US" w:eastAsia="zh-CN"/>
        </w:rPr>
      </w:pPr>
      <w:r>
        <w:rPr>
          <w:rFonts w:hint="eastAsia"/>
          <w:b/>
          <w:bCs/>
          <w:color w:val="auto"/>
          <w:lang w:eastAsia="zh-CN"/>
        </w:rPr>
        <w:t>（</w:t>
      </w:r>
      <w:r>
        <w:rPr>
          <w:rFonts w:hint="eastAsia"/>
          <w:b/>
          <w:bCs/>
          <w:color w:val="auto"/>
          <w:lang w:val="en-US" w:eastAsia="zh-CN"/>
        </w:rPr>
        <w:t>三）商务要求</w:t>
      </w:r>
    </w:p>
    <w:tbl>
      <w:tblPr>
        <w:tblStyle w:val="25"/>
        <w:tblpPr w:leftFromText="180" w:rightFromText="180" w:vertAnchor="text" w:horzAnchor="page" w:tblpX="1625" w:tblpY="502"/>
        <w:tblOverlap w:val="never"/>
        <w:tblW w:w="4997" w:type="pct"/>
        <w:tblInd w:w="0" w:type="dxa"/>
        <w:tblLayout w:type="autofit"/>
        <w:tblCellMar>
          <w:top w:w="15" w:type="dxa"/>
          <w:left w:w="15" w:type="dxa"/>
          <w:bottom w:w="15" w:type="dxa"/>
          <w:right w:w="15" w:type="dxa"/>
        </w:tblCellMar>
      </w:tblPr>
      <w:tblGrid>
        <w:gridCol w:w="736"/>
        <w:gridCol w:w="1570"/>
        <w:gridCol w:w="7013"/>
      </w:tblGrid>
      <w:tr w14:paraId="0FC7E1A1">
        <w:tblPrEx>
          <w:tblCellMar>
            <w:top w:w="15" w:type="dxa"/>
            <w:left w:w="15" w:type="dxa"/>
            <w:bottom w:w="15" w:type="dxa"/>
            <w:right w:w="15" w:type="dxa"/>
          </w:tblCellMar>
        </w:tblPrEx>
        <w:trPr>
          <w:trHeight w:val="570" w:hRule="atLeast"/>
        </w:trPr>
        <w:tc>
          <w:tcPr>
            <w:tcW w:w="712" w:type="dxa"/>
            <w:tcBorders>
              <w:top w:val="single" w:color="000000" w:sz="4" w:space="0"/>
              <w:left w:val="single" w:color="000000" w:sz="4" w:space="0"/>
              <w:bottom w:val="single" w:color="000000" w:sz="4" w:space="0"/>
              <w:right w:val="single" w:color="000000" w:sz="4" w:space="0"/>
            </w:tcBorders>
            <w:noWrap w:val="0"/>
            <w:vAlign w:val="center"/>
          </w:tcPr>
          <w:p w14:paraId="5C0BBB1A">
            <w:pPr>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sz w:val="24"/>
                <w:szCs w:val="24"/>
              </w:rPr>
            </w:pPr>
            <w:r>
              <w:rPr>
                <w:rFonts w:hint="eastAsia" w:ascii="宋体" w:hAnsi="宋体" w:eastAsia="宋体" w:cs="宋体"/>
                <w:b/>
                <w:color w:val="auto"/>
                <w:sz w:val="24"/>
                <w:szCs w:val="24"/>
                <w:lang w:bidi="ar"/>
              </w:rPr>
              <w:t>序号</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14:paraId="1113C47F">
            <w:pPr>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sz w:val="24"/>
                <w:szCs w:val="24"/>
              </w:rPr>
            </w:pPr>
            <w:r>
              <w:rPr>
                <w:rFonts w:hint="eastAsia" w:ascii="宋体" w:hAnsi="宋体" w:eastAsia="宋体" w:cs="宋体"/>
                <w:b/>
                <w:color w:val="auto"/>
                <w:sz w:val="24"/>
                <w:szCs w:val="24"/>
              </w:rPr>
              <w:t>需求名称</w:t>
            </w:r>
          </w:p>
        </w:tc>
        <w:tc>
          <w:tcPr>
            <w:tcW w:w="6781" w:type="dxa"/>
            <w:tcBorders>
              <w:top w:val="single" w:color="000000" w:sz="4" w:space="0"/>
              <w:left w:val="single" w:color="000000" w:sz="4" w:space="0"/>
              <w:bottom w:val="single" w:color="000000" w:sz="4" w:space="0"/>
              <w:right w:val="single" w:color="000000" w:sz="4" w:space="0"/>
            </w:tcBorders>
            <w:noWrap w:val="0"/>
            <w:vAlign w:val="center"/>
          </w:tcPr>
          <w:p w14:paraId="1933B804">
            <w:pPr>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sz w:val="24"/>
                <w:szCs w:val="24"/>
              </w:rPr>
            </w:pPr>
            <w:r>
              <w:rPr>
                <w:rFonts w:hint="eastAsia" w:ascii="宋体" w:hAnsi="宋体" w:eastAsia="宋体" w:cs="宋体"/>
                <w:b/>
                <w:color w:val="auto"/>
                <w:sz w:val="24"/>
                <w:szCs w:val="24"/>
              </w:rPr>
              <w:t>需求说明</w:t>
            </w:r>
          </w:p>
        </w:tc>
      </w:tr>
      <w:tr w14:paraId="3B5B76F2">
        <w:tblPrEx>
          <w:tblCellMar>
            <w:top w:w="15" w:type="dxa"/>
            <w:left w:w="15" w:type="dxa"/>
            <w:bottom w:w="15" w:type="dxa"/>
            <w:right w:w="15" w:type="dxa"/>
          </w:tblCellMar>
        </w:tblPrEx>
        <w:trPr>
          <w:trHeight w:val="605" w:hRule="atLeast"/>
        </w:trPr>
        <w:tc>
          <w:tcPr>
            <w:tcW w:w="712" w:type="dxa"/>
            <w:tcBorders>
              <w:top w:val="single" w:color="000000" w:sz="4" w:space="0"/>
              <w:left w:val="single" w:color="000000" w:sz="4" w:space="0"/>
              <w:bottom w:val="single" w:color="000000" w:sz="4" w:space="0"/>
              <w:right w:val="single" w:color="000000" w:sz="4" w:space="0"/>
            </w:tcBorders>
            <w:noWrap w:val="0"/>
            <w:vAlign w:val="center"/>
          </w:tcPr>
          <w:p w14:paraId="4DEB58B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14:paraId="4307FABC">
            <w:pPr>
              <w:snapToGrid w:val="0"/>
              <w:spacing w:line="4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交货地点</w:t>
            </w:r>
          </w:p>
        </w:tc>
        <w:tc>
          <w:tcPr>
            <w:tcW w:w="6781" w:type="dxa"/>
            <w:tcBorders>
              <w:top w:val="single" w:color="000000" w:sz="4" w:space="0"/>
              <w:left w:val="single" w:color="000000" w:sz="4" w:space="0"/>
              <w:bottom w:val="single" w:color="000000" w:sz="4" w:space="0"/>
              <w:right w:val="single" w:color="000000" w:sz="4" w:space="0"/>
            </w:tcBorders>
            <w:noWrap w:val="0"/>
            <w:vAlign w:val="center"/>
          </w:tcPr>
          <w:p w14:paraId="614E778B">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采购人指定地点</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南昌医学院九龙湖校区</w:t>
            </w:r>
            <w:r>
              <w:rPr>
                <w:rFonts w:hint="eastAsia" w:ascii="宋体" w:hAnsi="宋体" w:eastAsia="宋体" w:cs="宋体"/>
                <w:bCs/>
                <w:color w:val="auto"/>
                <w:sz w:val="24"/>
                <w:szCs w:val="24"/>
                <w:lang w:eastAsia="zh-CN"/>
              </w:rPr>
              <w:t>）</w:t>
            </w:r>
          </w:p>
        </w:tc>
      </w:tr>
      <w:tr w14:paraId="5A7ACF5E">
        <w:tblPrEx>
          <w:tblCellMar>
            <w:top w:w="15" w:type="dxa"/>
            <w:left w:w="15" w:type="dxa"/>
            <w:bottom w:w="15" w:type="dxa"/>
            <w:right w:w="15" w:type="dxa"/>
          </w:tblCellMar>
        </w:tblPrEx>
        <w:trPr>
          <w:trHeight w:val="810" w:hRule="atLeast"/>
        </w:trPr>
        <w:tc>
          <w:tcPr>
            <w:tcW w:w="712" w:type="dxa"/>
            <w:tcBorders>
              <w:top w:val="single" w:color="000000" w:sz="4" w:space="0"/>
              <w:left w:val="single" w:color="000000" w:sz="4" w:space="0"/>
              <w:bottom w:val="single" w:color="000000" w:sz="4" w:space="0"/>
              <w:right w:val="single" w:color="000000" w:sz="4" w:space="0"/>
            </w:tcBorders>
            <w:noWrap w:val="0"/>
            <w:vAlign w:val="center"/>
          </w:tcPr>
          <w:p w14:paraId="53B1D29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14:paraId="45E918A5">
            <w:pPr>
              <w:snapToGrid w:val="0"/>
              <w:spacing w:line="4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交货期</w:t>
            </w:r>
          </w:p>
        </w:tc>
        <w:tc>
          <w:tcPr>
            <w:tcW w:w="6781" w:type="dxa"/>
            <w:tcBorders>
              <w:top w:val="single" w:color="000000" w:sz="4" w:space="0"/>
              <w:left w:val="single" w:color="000000" w:sz="4" w:space="0"/>
              <w:bottom w:val="single" w:color="000000" w:sz="4" w:space="0"/>
              <w:right w:val="single" w:color="000000" w:sz="4" w:space="0"/>
            </w:tcBorders>
            <w:noWrap w:val="0"/>
            <w:vAlign w:val="center"/>
          </w:tcPr>
          <w:p w14:paraId="41BF9D92">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成交供应商应在签订本合同之日起</w:t>
            </w:r>
            <w:r>
              <w:rPr>
                <w:rFonts w:hint="eastAsia" w:ascii="宋体" w:hAnsi="宋体" w:eastAsia="宋体" w:cs="宋体"/>
                <w:bCs/>
                <w:color w:val="auto"/>
                <w:sz w:val="24"/>
                <w:szCs w:val="24"/>
                <w:lang w:val="en-US" w:eastAsia="zh-CN"/>
              </w:rPr>
              <w:t>20天</w:t>
            </w:r>
            <w:r>
              <w:rPr>
                <w:rFonts w:hint="eastAsia" w:ascii="宋体" w:hAnsi="宋体" w:eastAsia="宋体" w:cs="宋体"/>
                <w:bCs/>
                <w:color w:val="auto"/>
                <w:sz w:val="24"/>
                <w:szCs w:val="24"/>
              </w:rPr>
              <w:t>内，将合同附件所列全部货物送达采购人指定地点并全部安装</w:t>
            </w:r>
            <w:r>
              <w:rPr>
                <w:rFonts w:hint="eastAsia" w:ascii="宋体" w:hAnsi="宋体" w:eastAsia="宋体" w:cs="宋体"/>
                <w:bCs/>
                <w:color w:val="auto"/>
                <w:sz w:val="24"/>
                <w:szCs w:val="24"/>
                <w:lang w:val="en-US" w:eastAsia="zh-CN"/>
              </w:rPr>
              <w:t>验收</w:t>
            </w:r>
            <w:r>
              <w:rPr>
                <w:rFonts w:hint="eastAsia" w:ascii="宋体" w:hAnsi="宋体" w:eastAsia="宋体" w:cs="宋体"/>
                <w:bCs/>
                <w:color w:val="auto"/>
                <w:sz w:val="24"/>
                <w:szCs w:val="24"/>
              </w:rPr>
              <w:t>完成。</w:t>
            </w:r>
          </w:p>
        </w:tc>
      </w:tr>
      <w:tr w14:paraId="2195A492">
        <w:tblPrEx>
          <w:tblCellMar>
            <w:top w:w="15" w:type="dxa"/>
            <w:left w:w="15" w:type="dxa"/>
            <w:bottom w:w="15" w:type="dxa"/>
            <w:right w:w="15" w:type="dxa"/>
          </w:tblCellMar>
        </w:tblPrEx>
        <w:trPr>
          <w:trHeight w:val="90" w:hRule="atLeast"/>
        </w:trPr>
        <w:tc>
          <w:tcPr>
            <w:tcW w:w="712" w:type="dxa"/>
            <w:tcBorders>
              <w:top w:val="single" w:color="000000" w:sz="4" w:space="0"/>
              <w:left w:val="single" w:color="000000" w:sz="4" w:space="0"/>
              <w:bottom w:val="single" w:color="000000" w:sz="4" w:space="0"/>
              <w:right w:val="single" w:color="000000" w:sz="4" w:space="0"/>
            </w:tcBorders>
            <w:noWrap w:val="0"/>
            <w:vAlign w:val="center"/>
          </w:tcPr>
          <w:p w14:paraId="1314D51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14:paraId="17206AEF">
            <w:pPr>
              <w:snapToGrid w:val="0"/>
              <w:spacing w:line="460" w:lineRule="exact"/>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highlight w:val="none"/>
              </w:rPr>
              <w:t>安装地点</w:t>
            </w:r>
          </w:p>
        </w:tc>
        <w:tc>
          <w:tcPr>
            <w:tcW w:w="6781" w:type="dxa"/>
            <w:tcBorders>
              <w:top w:val="single" w:color="000000" w:sz="4" w:space="0"/>
              <w:left w:val="single" w:color="000000" w:sz="4" w:space="0"/>
              <w:bottom w:val="single" w:color="000000" w:sz="4" w:space="0"/>
              <w:right w:val="single" w:color="000000" w:sz="4" w:space="0"/>
            </w:tcBorders>
            <w:noWrap w:val="0"/>
            <w:vAlign w:val="center"/>
          </w:tcPr>
          <w:p w14:paraId="6AA88FB7">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采采购人指定地点</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南昌医学院九龙湖校区</w:t>
            </w:r>
            <w:r>
              <w:rPr>
                <w:rFonts w:hint="eastAsia" w:ascii="宋体" w:hAnsi="宋体" w:eastAsia="宋体" w:cs="宋体"/>
                <w:bCs/>
                <w:color w:val="auto"/>
                <w:sz w:val="24"/>
                <w:szCs w:val="24"/>
                <w:lang w:eastAsia="zh-CN"/>
              </w:rPr>
              <w:t>）</w:t>
            </w:r>
          </w:p>
        </w:tc>
      </w:tr>
      <w:tr w14:paraId="2B8E0C4D">
        <w:tblPrEx>
          <w:tblCellMar>
            <w:top w:w="15" w:type="dxa"/>
            <w:left w:w="15" w:type="dxa"/>
            <w:bottom w:w="15" w:type="dxa"/>
            <w:right w:w="15" w:type="dxa"/>
          </w:tblCellMar>
        </w:tblPrEx>
        <w:trPr>
          <w:trHeight w:val="90" w:hRule="atLeast"/>
        </w:trPr>
        <w:tc>
          <w:tcPr>
            <w:tcW w:w="712" w:type="dxa"/>
            <w:tcBorders>
              <w:top w:val="single" w:color="000000" w:sz="4" w:space="0"/>
              <w:left w:val="single" w:color="000000" w:sz="4" w:space="0"/>
              <w:bottom w:val="single" w:color="000000" w:sz="4" w:space="0"/>
              <w:right w:val="single" w:color="000000" w:sz="4" w:space="0"/>
            </w:tcBorders>
            <w:noWrap w:val="0"/>
            <w:vAlign w:val="center"/>
          </w:tcPr>
          <w:p w14:paraId="6B1CB35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14:paraId="32CD0328">
            <w:pPr>
              <w:snapToGrid w:val="0"/>
              <w:spacing w:line="460" w:lineRule="exact"/>
              <w:jc w:val="center"/>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履约保证金</w:t>
            </w:r>
          </w:p>
        </w:tc>
        <w:tc>
          <w:tcPr>
            <w:tcW w:w="6781" w:type="dxa"/>
            <w:tcBorders>
              <w:top w:val="single" w:color="000000" w:sz="4" w:space="0"/>
              <w:left w:val="single" w:color="000000" w:sz="4" w:space="0"/>
              <w:bottom w:val="single" w:color="000000" w:sz="4" w:space="0"/>
              <w:right w:val="single" w:color="000000" w:sz="4" w:space="0"/>
            </w:tcBorders>
            <w:noWrap w:val="0"/>
            <w:vAlign w:val="center"/>
          </w:tcPr>
          <w:p w14:paraId="6BE253FE">
            <w:pPr>
              <w:keepNext w:val="0"/>
              <w:keepLines w:val="0"/>
              <w:pageBreakBefore w:val="0"/>
              <w:widowControl w:val="0"/>
              <w:kinsoku/>
              <w:wordWrap/>
              <w:overflowPunct/>
              <w:topLinePunct w:val="0"/>
              <w:bidi w:val="0"/>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1、履约保证金金额：合同金额的10%。</w:t>
            </w:r>
          </w:p>
          <w:p w14:paraId="2E6887A8">
            <w:pPr>
              <w:keepNext w:val="0"/>
              <w:keepLines w:val="0"/>
              <w:pageBreakBefore w:val="0"/>
              <w:widowControl w:val="0"/>
              <w:kinsoku/>
              <w:wordWrap/>
              <w:overflowPunct/>
              <w:topLinePunct w:val="0"/>
              <w:bidi w:val="0"/>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2、履约保证金递交方式：合同签订后3个工作日内，中标人应以支票、汇票、本票或者金融机构、担保机构出具的保函等非现金形式向采购人递交履约保证金。</w:t>
            </w:r>
          </w:p>
          <w:p w14:paraId="5F2E715F">
            <w:pPr>
              <w:keepNext w:val="0"/>
              <w:keepLines w:val="0"/>
              <w:pageBreakBefore w:val="0"/>
              <w:widowControl w:val="0"/>
              <w:kinsoku/>
              <w:wordWrap/>
              <w:overflowPunct/>
              <w:topLinePunct w:val="0"/>
              <w:bidi w:val="0"/>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3、履约保证金退还方式、时间、条件：履约保证金在本合同履行完毕并验收合格后，由中标人向采购人提出退还履约保证金申请，采购人收到中标人申请后15个工作日内一次性退还（不计利息）。</w:t>
            </w:r>
          </w:p>
          <w:p w14:paraId="0139A6D2">
            <w:pPr>
              <w:keepNext w:val="0"/>
              <w:keepLines w:val="0"/>
              <w:pageBreakBefore w:val="0"/>
              <w:widowControl w:val="0"/>
              <w:kinsoku/>
              <w:wordWrap/>
              <w:overflowPunct/>
              <w:topLinePunct w:val="0"/>
              <w:bidi w:val="0"/>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4、履约保证金不予退还情形：签订合同后，如中标人不按双方签订的合同规定履约，全部履约保证金不予退还，履约保证金不足以赔偿损失的，按实际损失赔偿。</w:t>
            </w:r>
          </w:p>
          <w:p w14:paraId="61EB1586">
            <w:pPr>
              <w:keepNext w:val="0"/>
              <w:keepLines w:val="0"/>
              <w:pageBreakBefore w:val="0"/>
              <w:widowControl w:val="0"/>
              <w:tabs>
                <w:tab w:val="left" w:pos="2774"/>
                <w:tab w:val="left" w:pos="2940"/>
                <w:tab w:val="left" w:pos="3360"/>
                <w:tab w:val="center" w:pos="5660"/>
              </w:tabs>
              <w:kinsoku/>
              <w:wordWrap/>
              <w:overflowPunct/>
              <w:topLinePunct w:val="0"/>
              <w:autoSpaceDE/>
              <w:autoSpaceDN/>
              <w:bidi w:val="0"/>
              <w:adjustRightInd/>
              <w:snapToGrid w:val="0"/>
              <w:spacing w:line="440" w:lineRule="exact"/>
              <w:jc w:val="left"/>
              <w:textAlignment w:val="auto"/>
              <w:rPr>
                <w:rFonts w:hint="eastAsia" w:ascii="宋体" w:hAnsi="宋体" w:eastAsia="宋体" w:cs="宋体"/>
                <w:bCs/>
                <w:color w:val="C00000"/>
                <w:sz w:val="24"/>
                <w:szCs w:val="24"/>
                <w:lang w:val="en-US" w:eastAsia="zh-CN"/>
              </w:rPr>
            </w:pPr>
            <w:r>
              <w:rPr>
                <w:rFonts w:hint="eastAsia" w:ascii="宋体" w:hAnsi="宋体" w:eastAsia="宋体" w:cs="宋体"/>
                <w:sz w:val="24"/>
                <w:szCs w:val="24"/>
                <w:lang w:eastAsia="zh-CN"/>
              </w:rPr>
              <w:t>5、逾期退还履约保证金违约责任：采购人逾期退还履约保证金的，应按银行同期存款利率支付逾期利息，但因中标人原因造成除外。</w:t>
            </w:r>
          </w:p>
        </w:tc>
      </w:tr>
      <w:tr w14:paraId="1C846812">
        <w:tblPrEx>
          <w:tblCellMar>
            <w:top w:w="15" w:type="dxa"/>
            <w:left w:w="15" w:type="dxa"/>
            <w:bottom w:w="15" w:type="dxa"/>
            <w:right w:w="15" w:type="dxa"/>
          </w:tblCellMar>
        </w:tblPrEx>
        <w:trPr>
          <w:trHeight w:val="934" w:hRule="atLeast"/>
        </w:trPr>
        <w:tc>
          <w:tcPr>
            <w:tcW w:w="712" w:type="dxa"/>
            <w:tcBorders>
              <w:top w:val="single" w:color="000000" w:sz="4" w:space="0"/>
              <w:left w:val="single" w:color="000000" w:sz="4" w:space="0"/>
              <w:bottom w:val="single" w:color="000000" w:sz="4" w:space="0"/>
              <w:right w:val="single" w:color="000000" w:sz="4" w:space="0"/>
            </w:tcBorders>
            <w:noWrap w:val="0"/>
            <w:vAlign w:val="center"/>
          </w:tcPr>
          <w:p w14:paraId="70B5E0C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14:paraId="749F152D">
            <w:pPr>
              <w:snapToGrid w:val="0"/>
              <w:spacing w:line="4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6781" w:type="dxa"/>
            <w:tcBorders>
              <w:top w:val="single" w:color="000000" w:sz="4" w:space="0"/>
              <w:left w:val="single" w:color="000000" w:sz="4" w:space="0"/>
              <w:bottom w:val="single" w:color="000000" w:sz="4" w:space="0"/>
              <w:right w:val="single" w:color="000000" w:sz="4" w:space="0"/>
            </w:tcBorders>
            <w:noWrap w:val="0"/>
            <w:vAlign w:val="center"/>
          </w:tcPr>
          <w:p w14:paraId="74BAA1F9">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项目验收合格后，凭成交供应商开具税务发票等付款所需的相关有效凭证于</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个工作日</w:t>
            </w:r>
            <w:r>
              <w:rPr>
                <w:rFonts w:hint="eastAsia" w:ascii="宋体" w:hAnsi="宋体" w:eastAsia="宋体" w:cs="宋体"/>
                <w:color w:val="auto"/>
                <w:sz w:val="24"/>
                <w:szCs w:val="24"/>
              </w:rPr>
              <w:t>内支付合同款的100%。</w:t>
            </w:r>
          </w:p>
        </w:tc>
      </w:tr>
      <w:tr w14:paraId="75968275">
        <w:tblPrEx>
          <w:tblCellMar>
            <w:top w:w="15" w:type="dxa"/>
            <w:left w:w="15" w:type="dxa"/>
            <w:bottom w:w="15" w:type="dxa"/>
            <w:right w:w="15" w:type="dxa"/>
          </w:tblCellMar>
        </w:tblPrEx>
        <w:trPr>
          <w:trHeight w:val="384" w:hRule="atLeast"/>
        </w:trPr>
        <w:tc>
          <w:tcPr>
            <w:tcW w:w="712" w:type="dxa"/>
            <w:tcBorders>
              <w:top w:val="single" w:color="000000" w:sz="4" w:space="0"/>
              <w:left w:val="single" w:color="000000" w:sz="4" w:space="0"/>
              <w:bottom w:val="single" w:color="000000" w:sz="4" w:space="0"/>
              <w:right w:val="single" w:color="000000" w:sz="4" w:space="0"/>
            </w:tcBorders>
            <w:noWrap w:val="0"/>
            <w:vAlign w:val="center"/>
          </w:tcPr>
          <w:p w14:paraId="72AEDB4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14:paraId="43EF6887">
            <w:pPr>
              <w:snapToGrid w:val="0"/>
              <w:spacing w:line="4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报价方式</w:t>
            </w:r>
          </w:p>
        </w:tc>
        <w:tc>
          <w:tcPr>
            <w:tcW w:w="6781" w:type="dxa"/>
            <w:tcBorders>
              <w:top w:val="single" w:color="000000" w:sz="4" w:space="0"/>
              <w:left w:val="single" w:color="000000" w:sz="4" w:space="0"/>
              <w:bottom w:val="single" w:color="000000" w:sz="4" w:space="0"/>
              <w:right w:val="single" w:color="000000" w:sz="4" w:space="0"/>
            </w:tcBorders>
            <w:noWrap w:val="0"/>
            <w:vAlign w:val="center"/>
          </w:tcPr>
          <w:p w14:paraId="157168A8">
            <w:pPr>
              <w:keepNext w:val="0"/>
              <w:keepLines w:val="0"/>
              <w:pageBreakBefore w:val="0"/>
              <w:widowControl w:val="0"/>
              <w:numPr>
                <w:ilvl w:val="0"/>
                <w:numId w:val="0"/>
              </w:numPr>
              <w:kinsoku/>
              <w:wordWrap/>
              <w:overflowPunct/>
              <w:topLinePunct w:val="0"/>
              <w:autoSpaceDE/>
              <w:autoSpaceDN/>
              <w:bidi w:val="0"/>
              <w:adjustRightIn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以人民币报价，</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包括</w:t>
            </w:r>
            <w:r>
              <w:rPr>
                <w:rFonts w:hint="eastAsia" w:ascii="宋体" w:hAnsi="宋体" w:eastAsia="宋体" w:cs="宋体"/>
                <w:bCs/>
                <w:color w:val="auto"/>
                <w:sz w:val="24"/>
                <w:szCs w:val="24"/>
                <w:lang w:val="en-US" w:eastAsia="zh-CN"/>
              </w:rPr>
              <w:t>供应商完成本项目的所有费用，包括且不限于：</w:t>
            </w:r>
            <w:r>
              <w:rPr>
                <w:rFonts w:hint="eastAsia" w:ascii="宋体" w:hAnsi="宋体" w:eastAsia="宋体" w:cs="宋体"/>
                <w:color w:val="auto"/>
                <w:sz w:val="24"/>
                <w:szCs w:val="24"/>
              </w:rPr>
              <w:t>合同货物及其税收、包装、运输、装卸、安装、</w:t>
            </w:r>
            <w:r>
              <w:rPr>
                <w:rFonts w:hint="eastAsia" w:ascii="宋体" w:hAnsi="宋体" w:eastAsia="宋体" w:cs="宋体"/>
                <w:color w:val="auto"/>
                <w:sz w:val="24"/>
                <w:szCs w:val="24"/>
                <w:lang w:val="en-US" w:eastAsia="zh-CN"/>
              </w:rPr>
              <w:t>施工</w:t>
            </w:r>
            <w:r>
              <w:rPr>
                <w:rFonts w:hint="eastAsia" w:ascii="宋体" w:hAnsi="宋体" w:eastAsia="宋体" w:cs="宋体"/>
                <w:color w:val="auto"/>
                <w:sz w:val="24"/>
                <w:szCs w:val="24"/>
              </w:rPr>
              <w:t>、验收、售后服务</w:t>
            </w:r>
            <w:r>
              <w:rPr>
                <w:rFonts w:hint="eastAsia" w:ascii="宋体" w:hAnsi="宋体" w:eastAsia="宋体" w:cs="宋体"/>
                <w:bCs/>
                <w:color w:val="auto"/>
                <w:sz w:val="24"/>
                <w:szCs w:val="24"/>
                <w:lang w:val="en-US" w:eastAsia="zh-CN"/>
              </w:rPr>
              <w:t>、人工及合同实施过程中不可预见费用等，采购人不额外支付合同价款外的任何费用</w:t>
            </w:r>
            <w:r>
              <w:rPr>
                <w:rFonts w:hint="eastAsia" w:ascii="宋体" w:hAnsi="宋体" w:eastAsia="宋体" w:cs="宋体"/>
                <w:color w:val="auto"/>
                <w:sz w:val="24"/>
              </w:rPr>
              <w:t>。</w:t>
            </w:r>
          </w:p>
        </w:tc>
      </w:tr>
      <w:tr w14:paraId="3E62BFA8">
        <w:tblPrEx>
          <w:tblCellMar>
            <w:top w:w="15" w:type="dxa"/>
            <w:left w:w="15" w:type="dxa"/>
            <w:bottom w:w="15" w:type="dxa"/>
            <w:right w:w="15" w:type="dxa"/>
          </w:tblCellMar>
        </w:tblPrEx>
        <w:trPr>
          <w:trHeight w:val="90" w:hRule="atLeast"/>
        </w:trPr>
        <w:tc>
          <w:tcPr>
            <w:tcW w:w="712" w:type="dxa"/>
            <w:tcBorders>
              <w:top w:val="single" w:color="000000" w:sz="4" w:space="0"/>
              <w:left w:val="single" w:color="000000" w:sz="4" w:space="0"/>
              <w:bottom w:val="single" w:color="000000" w:sz="4" w:space="0"/>
              <w:right w:val="single" w:color="000000" w:sz="4" w:space="0"/>
            </w:tcBorders>
            <w:noWrap w:val="0"/>
            <w:vAlign w:val="center"/>
          </w:tcPr>
          <w:p w14:paraId="592FB25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14:paraId="3F431743">
            <w:pPr>
              <w:snapToGrid w:val="0"/>
              <w:spacing w:line="4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货物验收</w:t>
            </w:r>
          </w:p>
        </w:tc>
        <w:tc>
          <w:tcPr>
            <w:tcW w:w="6781" w:type="dxa"/>
            <w:tcBorders>
              <w:top w:val="single" w:color="000000" w:sz="4" w:space="0"/>
              <w:left w:val="single" w:color="000000" w:sz="4" w:space="0"/>
              <w:bottom w:val="single" w:color="000000" w:sz="4" w:space="0"/>
              <w:right w:val="single" w:color="000000" w:sz="4" w:space="0"/>
            </w:tcBorders>
            <w:noWrap w:val="0"/>
            <w:vAlign w:val="center"/>
          </w:tcPr>
          <w:p w14:paraId="024ABC32">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项目完成后，由</w:t>
            </w:r>
            <w:r>
              <w:rPr>
                <w:rFonts w:hint="eastAsia" w:ascii="宋体" w:hAnsi="宋体" w:eastAsia="宋体" w:cs="宋体"/>
                <w:color w:val="auto"/>
                <w:sz w:val="24"/>
                <w:szCs w:val="24"/>
                <w:lang w:eastAsia="zh-CN"/>
              </w:rPr>
              <w:t>采购人和成交供应商</w:t>
            </w:r>
            <w:r>
              <w:rPr>
                <w:rFonts w:hint="eastAsia" w:ascii="宋体" w:hAnsi="宋体" w:eastAsia="宋体" w:cs="宋体"/>
                <w:color w:val="auto"/>
                <w:sz w:val="24"/>
                <w:szCs w:val="24"/>
              </w:rPr>
              <w:t>共同对</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进行验收。</w:t>
            </w:r>
          </w:p>
          <w:p w14:paraId="649D0227">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标准：货物按国家规定的验收规范标准及磋商文件的技术规格及要求进行验收。</w:t>
            </w:r>
          </w:p>
        </w:tc>
      </w:tr>
      <w:tr w14:paraId="7A1BE01D">
        <w:tblPrEx>
          <w:tblCellMar>
            <w:top w:w="15" w:type="dxa"/>
            <w:left w:w="15" w:type="dxa"/>
            <w:bottom w:w="15" w:type="dxa"/>
            <w:right w:w="15" w:type="dxa"/>
          </w:tblCellMar>
        </w:tblPrEx>
        <w:trPr>
          <w:trHeight w:val="497" w:hRule="atLeast"/>
        </w:trPr>
        <w:tc>
          <w:tcPr>
            <w:tcW w:w="712" w:type="dxa"/>
            <w:tcBorders>
              <w:top w:val="single" w:color="000000" w:sz="4" w:space="0"/>
              <w:left w:val="single" w:color="000000" w:sz="4" w:space="0"/>
              <w:bottom w:val="single" w:color="000000" w:sz="4" w:space="0"/>
              <w:right w:val="single" w:color="000000" w:sz="4" w:space="0"/>
            </w:tcBorders>
            <w:noWrap w:val="0"/>
            <w:vAlign w:val="center"/>
          </w:tcPr>
          <w:p w14:paraId="2EC7AD2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14:paraId="2D6437AB">
            <w:pPr>
              <w:snapToGrid w:val="0"/>
              <w:spacing w:line="4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售后服务</w:t>
            </w:r>
          </w:p>
        </w:tc>
        <w:tc>
          <w:tcPr>
            <w:tcW w:w="6781" w:type="dxa"/>
            <w:tcBorders>
              <w:top w:val="single" w:color="000000" w:sz="4" w:space="0"/>
              <w:left w:val="single" w:color="000000" w:sz="4" w:space="0"/>
              <w:bottom w:val="single" w:color="000000" w:sz="4" w:space="0"/>
              <w:right w:val="single" w:color="000000" w:sz="4" w:space="0"/>
            </w:tcBorders>
            <w:noWrap w:val="0"/>
            <w:vAlign w:val="center"/>
          </w:tcPr>
          <w:p w14:paraId="5C139C1F">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C00000"/>
                <w:sz w:val="24"/>
                <w:szCs w:val="24"/>
                <w:u w:val="none"/>
              </w:rPr>
            </w:pPr>
            <w:r>
              <w:rPr>
                <w:rFonts w:hint="eastAsia" w:ascii="宋体" w:hAnsi="宋体" w:eastAsia="宋体" w:cs="宋体"/>
                <w:color w:val="auto"/>
                <w:sz w:val="24"/>
                <w:szCs w:val="24"/>
                <w:u w:val="none"/>
              </w:rPr>
              <w:t>1.自</w:t>
            </w:r>
            <w:r>
              <w:rPr>
                <w:rFonts w:hint="eastAsia" w:ascii="宋体" w:hAnsi="宋体" w:eastAsia="宋体" w:cs="宋体"/>
                <w:color w:val="auto"/>
                <w:sz w:val="24"/>
                <w:szCs w:val="24"/>
                <w:u w:val="none"/>
                <w:lang w:val="en-US" w:eastAsia="zh-CN"/>
              </w:rPr>
              <w:t>项目</w:t>
            </w:r>
            <w:r>
              <w:rPr>
                <w:rFonts w:hint="eastAsia" w:ascii="宋体" w:hAnsi="宋体" w:eastAsia="宋体" w:cs="宋体"/>
                <w:color w:val="auto"/>
                <w:sz w:val="24"/>
                <w:szCs w:val="24"/>
                <w:u w:val="none"/>
              </w:rPr>
              <w:t>验收合格之日起，成交供应商对所供货物提供</w:t>
            </w:r>
            <w:r>
              <w:rPr>
                <w:rFonts w:hint="eastAsia" w:ascii="宋体" w:hAnsi="宋体" w:eastAsia="宋体" w:cs="宋体"/>
                <w:color w:val="auto"/>
                <w:sz w:val="24"/>
                <w:szCs w:val="24"/>
                <w:u w:val="none"/>
                <w:lang w:val="en-US" w:eastAsia="zh-CN"/>
              </w:rPr>
              <w:t>12</w:t>
            </w:r>
            <w:r>
              <w:rPr>
                <w:rFonts w:hint="eastAsia" w:ascii="宋体" w:hAnsi="宋体" w:eastAsia="宋体" w:cs="宋体"/>
                <w:color w:val="auto"/>
                <w:sz w:val="24"/>
                <w:szCs w:val="24"/>
                <w:u w:val="none"/>
              </w:rPr>
              <w:t>个月的</w:t>
            </w:r>
            <w:r>
              <w:rPr>
                <w:rFonts w:hint="eastAsia" w:ascii="宋体" w:hAnsi="宋体" w:eastAsia="宋体" w:cs="宋体"/>
                <w:color w:val="auto"/>
                <w:sz w:val="24"/>
                <w:szCs w:val="24"/>
                <w:u w:val="none"/>
                <w:lang w:eastAsia="zh-CN"/>
              </w:rPr>
              <w:t>售后服务期，</w:t>
            </w:r>
            <w:r>
              <w:rPr>
                <w:rFonts w:hint="eastAsia" w:ascii="宋体" w:hAnsi="宋体" w:eastAsia="宋体" w:cs="宋体"/>
                <w:color w:val="auto"/>
                <w:sz w:val="24"/>
                <w:szCs w:val="24"/>
                <w:u w:val="none"/>
                <w:lang w:val="en-US" w:eastAsia="zh-CN"/>
              </w:rPr>
              <w:t>24小时内响应，</w:t>
            </w:r>
            <w:r>
              <w:rPr>
                <w:rFonts w:hint="eastAsia" w:ascii="宋体" w:hAnsi="宋体" w:eastAsia="宋体" w:cs="宋体"/>
                <w:color w:val="auto"/>
                <w:sz w:val="24"/>
                <w:szCs w:val="24"/>
              </w:rPr>
              <w:t>四十八</w:t>
            </w:r>
            <w:r>
              <w:rPr>
                <w:rFonts w:hint="eastAsia" w:ascii="宋体" w:hAnsi="宋体" w:eastAsia="宋体" w:cs="宋体"/>
                <w:color w:val="auto"/>
                <w:kern w:val="2"/>
                <w:sz w:val="24"/>
                <w:szCs w:val="24"/>
                <w:lang w:val="en-US" w:eastAsia="zh-CN"/>
              </w:rPr>
              <w:t>小时响应并维修到位</w:t>
            </w:r>
            <w:r>
              <w:rPr>
                <w:rFonts w:hint="eastAsia" w:ascii="宋体" w:hAnsi="宋体" w:eastAsia="宋体" w:cs="宋体"/>
                <w:color w:val="auto"/>
                <w:sz w:val="24"/>
                <w:szCs w:val="24"/>
                <w:u w:val="none"/>
              </w:rPr>
              <w:t>。</w:t>
            </w:r>
          </w:p>
          <w:p w14:paraId="0498210E">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售后服务期</w:t>
            </w:r>
            <w:r>
              <w:rPr>
                <w:rFonts w:hint="eastAsia" w:ascii="宋体" w:hAnsi="宋体" w:eastAsia="宋体" w:cs="宋体"/>
                <w:color w:val="auto"/>
                <w:sz w:val="24"/>
                <w:szCs w:val="24"/>
              </w:rPr>
              <w:t>内，成交供应商所提供的维修及技术服务不收取任何费用（含运输、关税、材料、人工、差旅</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画面立体字的更换、二次设计更换</w:t>
            </w:r>
            <w:r>
              <w:rPr>
                <w:rFonts w:hint="eastAsia" w:ascii="宋体" w:hAnsi="宋体" w:eastAsia="宋体" w:cs="宋体"/>
                <w:color w:val="auto"/>
                <w:sz w:val="24"/>
                <w:szCs w:val="24"/>
              </w:rPr>
              <w:t>等费用及成交供应商在</w:t>
            </w:r>
            <w:r>
              <w:rPr>
                <w:rFonts w:hint="eastAsia" w:ascii="宋体" w:hAnsi="宋体" w:eastAsia="宋体" w:cs="宋体"/>
                <w:color w:val="auto"/>
                <w:sz w:val="24"/>
                <w:szCs w:val="24"/>
                <w:lang w:eastAsia="zh-CN"/>
              </w:rPr>
              <w:t>售后服务期</w:t>
            </w:r>
            <w:r>
              <w:rPr>
                <w:rFonts w:hint="eastAsia" w:ascii="宋体" w:hAnsi="宋体" w:eastAsia="宋体" w:cs="宋体"/>
                <w:color w:val="auto"/>
                <w:sz w:val="24"/>
                <w:szCs w:val="24"/>
              </w:rPr>
              <w:t>内为设备更换备品备件）。</w:t>
            </w:r>
          </w:p>
          <w:p w14:paraId="07ECA968">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售后服务期</w:t>
            </w:r>
            <w:r>
              <w:rPr>
                <w:rFonts w:hint="eastAsia" w:ascii="宋体" w:hAnsi="宋体" w:eastAsia="宋体" w:cs="宋体"/>
                <w:color w:val="auto"/>
                <w:sz w:val="24"/>
                <w:szCs w:val="24"/>
              </w:rPr>
              <w:t>后，</w:t>
            </w:r>
            <w:r>
              <w:rPr>
                <w:rFonts w:hint="eastAsia" w:ascii="宋体" w:hAnsi="宋体" w:eastAsia="宋体" w:cs="宋体"/>
                <w:color w:val="auto"/>
                <w:sz w:val="24"/>
                <w:szCs w:val="24"/>
                <w:lang w:val="en-US" w:eastAsia="zh-CN"/>
              </w:rPr>
              <w:t>采购人可要求</w:t>
            </w:r>
            <w:r>
              <w:rPr>
                <w:rFonts w:hint="eastAsia" w:ascii="宋体" w:hAnsi="宋体" w:eastAsia="宋体" w:cs="宋体"/>
                <w:color w:val="auto"/>
                <w:sz w:val="24"/>
                <w:szCs w:val="24"/>
              </w:rPr>
              <w:t>成交供应商向采购人</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提供终身维修及服务，其费用按不高于材料成本价和</w:t>
            </w:r>
            <w:r>
              <w:rPr>
                <w:rFonts w:hint="eastAsia" w:ascii="宋体" w:hAnsi="宋体" w:eastAsia="宋体" w:cs="宋体"/>
                <w:color w:val="auto"/>
                <w:sz w:val="24"/>
                <w:szCs w:val="24"/>
                <w:lang w:val="en-US" w:eastAsia="zh-CN"/>
              </w:rPr>
              <w:t>行业内</w:t>
            </w:r>
            <w:r>
              <w:rPr>
                <w:rFonts w:hint="eastAsia" w:ascii="宋体" w:hAnsi="宋体" w:eastAsia="宋体" w:cs="宋体"/>
                <w:color w:val="auto"/>
                <w:sz w:val="24"/>
                <w:szCs w:val="24"/>
              </w:rPr>
              <w:t>服务费的标准执行，否则采购人有权委托第三方或自行修理。</w:t>
            </w:r>
          </w:p>
        </w:tc>
      </w:tr>
      <w:tr w14:paraId="3D88BAFE">
        <w:tblPrEx>
          <w:tblCellMar>
            <w:top w:w="15" w:type="dxa"/>
            <w:left w:w="15" w:type="dxa"/>
            <w:bottom w:w="15" w:type="dxa"/>
            <w:right w:w="15" w:type="dxa"/>
          </w:tblCellMar>
        </w:tblPrEx>
        <w:trPr>
          <w:trHeight w:val="578" w:hRule="atLeast"/>
        </w:trPr>
        <w:tc>
          <w:tcPr>
            <w:tcW w:w="712" w:type="dxa"/>
            <w:tcBorders>
              <w:top w:val="single" w:color="000000" w:sz="4" w:space="0"/>
              <w:left w:val="single" w:color="000000" w:sz="4" w:space="0"/>
              <w:bottom w:val="single" w:color="000000" w:sz="4" w:space="0"/>
              <w:right w:val="single" w:color="000000" w:sz="4" w:space="0"/>
            </w:tcBorders>
            <w:noWrap w:val="0"/>
            <w:vAlign w:val="center"/>
          </w:tcPr>
          <w:p w14:paraId="13B0608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14:paraId="6B457CA2">
            <w:pPr>
              <w:snapToGrid w:val="0"/>
              <w:spacing w:line="460" w:lineRule="exact"/>
              <w:jc w:val="center"/>
              <w:rPr>
                <w:rFonts w:hint="eastAsia" w:ascii="宋体" w:hAnsi="宋体" w:eastAsia="宋体" w:cs="宋体"/>
                <w:color w:val="auto"/>
                <w:sz w:val="24"/>
                <w:szCs w:val="24"/>
              </w:rPr>
            </w:pPr>
            <w:r>
              <w:rPr>
                <w:rFonts w:hint="eastAsia" w:ascii="宋体" w:hAnsi="宋体" w:eastAsia="宋体" w:cs="宋体"/>
                <w:bCs/>
                <w:color w:val="auto"/>
                <w:sz w:val="24"/>
                <w:szCs w:val="24"/>
              </w:rPr>
              <w:t>知识产权归属和处理方式</w:t>
            </w:r>
          </w:p>
        </w:tc>
        <w:tc>
          <w:tcPr>
            <w:tcW w:w="6781" w:type="dxa"/>
            <w:tcBorders>
              <w:top w:val="single" w:color="000000" w:sz="4" w:space="0"/>
              <w:left w:val="single" w:color="000000" w:sz="4" w:space="0"/>
              <w:bottom w:val="single" w:color="000000" w:sz="4" w:space="0"/>
              <w:right w:val="single" w:color="000000" w:sz="4" w:space="0"/>
            </w:tcBorders>
            <w:noWrap w:val="0"/>
            <w:vAlign w:val="center"/>
          </w:tcPr>
          <w:p w14:paraId="09F3C8C0">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成交供应商应保证采购人在使用本合同货物或其任何一部分时不受第三方提出侵犯专利权、商标权、著作权或其它知识产权起诉的指控。如果任何第三方提出侵权指控，成交供应商须与第三方交涉并承担可能发生的一切法律责任和费用。</w:t>
            </w:r>
          </w:p>
        </w:tc>
      </w:tr>
    </w:tbl>
    <w:p w14:paraId="3E468B56">
      <w:pPr>
        <w:pStyle w:val="7"/>
        <w:ind w:left="0" w:leftChars="0" w:firstLine="0" w:firstLineChars="0"/>
        <w:rPr>
          <w:rFonts w:hint="eastAsia" w:ascii="宋体" w:hAnsi="宋体"/>
          <w:b/>
          <w:sz w:val="24"/>
          <w:highlight w:val="none"/>
        </w:rPr>
      </w:pPr>
    </w:p>
    <w:p w14:paraId="0B7CCAD6">
      <w:pPr>
        <w:pStyle w:val="7"/>
        <w:ind w:left="0" w:leftChars="0" w:firstLine="0" w:firstLineChars="0"/>
        <w:rPr>
          <w:rFonts w:hint="eastAsia" w:ascii="宋体" w:hAnsi="宋体"/>
          <w:b/>
          <w:sz w:val="24"/>
          <w:highlight w:val="none"/>
        </w:rPr>
      </w:pPr>
      <w:r>
        <w:rPr>
          <w:rFonts w:hint="eastAsia" w:ascii="宋体" w:hAnsi="宋体"/>
          <w:b/>
          <w:sz w:val="24"/>
          <w:highlight w:val="none"/>
        </w:rPr>
        <w:t>注：以上“商务要求”为实质性要求，必须完全满足，否则响应无效。</w:t>
      </w:r>
    </w:p>
    <w:p w14:paraId="41A760C5">
      <w:pPr>
        <w:widowControl/>
        <w:numPr>
          <w:ilvl w:val="0"/>
          <w:numId w:val="0"/>
        </w:numPr>
        <w:spacing w:line="420" w:lineRule="exact"/>
        <w:jc w:val="left"/>
        <w:rPr>
          <w:rFonts w:hint="eastAsia" w:ascii="宋体" w:hAnsi="宋体" w:cs="宋体"/>
          <w:b/>
          <w:bCs/>
          <w:kern w:val="0"/>
          <w:sz w:val="24"/>
          <w:shd w:val="clear" w:color="auto" w:fill="FFFFFF"/>
          <w:lang w:val="en-US" w:eastAsia="zh-CN"/>
        </w:rPr>
      </w:pPr>
    </w:p>
    <w:p w14:paraId="6D232AAE">
      <w:pPr>
        <w:widowControl/>
        <w:numPr>
          <w:ilvl w:val="0"/>
          <w:numId w:val="0"/>
        </w:numPr>
        <w:spacing w:line="420" w:lineRule="exact"/>
        <w:jc w:val="left"/>
        <w:rPr>
          <w:rFonts w:hint="default" w:ascii="宋体" w:hAnsi="宋体" w:cs="宋体"/>
          <w:b/>
          <w:bCs/>
          <w:kern w:val="0"/>
          <w:sz w:val="24"/>
          <w:shd w:val="clear" w:color="auto" w:fill="FFFFFF"/>
          <w:lang w:val="en-US" w:eastAsia="zh-CN"/>
        </w:rPr>
      </w:pPr>
      <w:r>
        <w:rPr>
          <w:rFonts w:hint="eastAsia" w:ascii="宋体" w:hAnsi="宋体" w:cs="宋体"/>
          <w:b/>
          <w:bCs/>
          <w:kern w:val="0"/>
          <w:sz w:val="24"/>
          <w:shd w:val="clear" w:color="auto" w:fill="FFFFFF"/>
          <w:lang w:val="en-US" w:eastAsia="zh-CN"/>
        </w:rPr>
        <w:t>四、拟定评审办法</w:t>
      </w:r>
    </w:p>
    <w:p w14:paraId="21176522">
      <w:pPr>
        <w:keepNext w:val="0"/>
        <w:keepLines w:val="0"/>
        <w:pageBreakBefore w:val="0"/>
        <w:tabs>
          <w:tab w:val="left" w:pos="284"/>
          <w:tab w:val="left" w:pos="993"/>
        </w:tabs>
        <w:wordWrap/>
        <w:overflowPunct/>
        <w:topLinePunct w:val="0"/>
        <w:bidi w:val="0"/>
        <w:spacing w:line="460" w:lineRule="exact"/>
        <w:ind w:firstLine="478" w:firstLineChars="200"/>
        <w:rPr>
          <w:rFonts w:hint="eastAsia" w:ascii="宋体" w:hAnsi="宋体"/>
          <w:b/>
          <w:bCs/>
          <w:sz w:val="24"/>
          <w:szCs w:val="24"/>
          <w:highlight w:val="none"/>
        </w:rPr>
      </w:pPr>
      <w:r>
        <w:rPr>
          <w:rFonts w:hint="eastAsia" w:ascii="宋体" w:hAnsi="宋体"/>
          <w:b/>
          <w:bCs/>
          <w:sz w:val="24"/>
          <w:szCs w:val="24"/>
          <w:highlight w:val="none"/>
          <w:lang w:eastAsia="zh-CN"/>
        </w:rPr>
        <w:t>（</w:t>
      </w:r>
      <w:r>
        <w:rPr>
          <w:rFonts w:hint="eastAsia" w:ascii="宋体" w:hAnsi="宋体"/>
          <w:b/>
          <w:bCs/>
          <w:sz w:val="24"/>
          <w:szCs w:val="24"/>
          <w:highlight w:val="none"/>
        </w:rPr>
        <w:t>一</w:t>
      </w:r>
      <w:r>
        <w:rPr>
          <w:rFonts w:hint="eastAsia" w:ascii="宋体" w:hAnsi="宋体"/>
          <w:b/>
          <w:bCs/>
          <w:sz w:val="24"/>
          <w:szCs w:val="24"/>
          <w:highlight w:val="none"/>
          <w:lang w:eastAsia="zh-CN"/>
        </w:rPr>
        <w:t>）</w:t>
      </w:r>
      <w:r>
        <w:rPr>
          <w:rFonts w:hint="eastAsia" w:ascii="宋体" w:hAnsi="宋体"/>
          <w:b/>
          <w:bCs/>
          <w:sz w:val="24"/>
          <w:szCs w:val="24"/>
          <w:highlight w:val="none"/>
        </w:rPr>
        <w:t>无效条款</w:t>
      </w:r>
    </w:p>
    <w:p w14:paraId="2640A5D9">
      <w:pPr>
        <w:keepNext w:val="0"/>
        <w:keepLines w:val="0"/>
        <w:pageBreakBefore w:val="0"/>
        <w:widowControl w:val="0"/>
        <w:numPr>
          <w:ilvl w:val="0"/>
          <w:numId w:val="3"/>
        </w:numPr>
        <w:tabs>
          <w:tab w:val="left" w:pos="284"/>
          <w:tab w:val="left" w:pos="993"/>
        </w:tabs>
        <w:kinsoku/>
        <w:wordWrap/>
        <w:overflowPunct/>
        <w:topLinePunct w:val="0"/>
        <w:autoSpaceDE/>
        <w:autoSpaceDN/>
        <w:bidi w:val="0"/>
        <w:adjustRightInd/>
        <w:snapToGrid/>
        <w:spacing w:line="460" w:lineRule="exact"/>
        <w:ind w:left="360" w:leftChars="0" w:firstLine="476" w:firstLineChars="200"/>
        <w:jc w:val="left"/>
        <w:textAlignment w:val="auto"/>
        <w:rPr>
          <w:rFonts w:ascii="宋体" w:hAnsi="宋体"/>
          <w:sz w:val="24"/>
          <w:szCs w:val="24"/>
          <w:highlight w:val="none"/>
        </w:rPr>
      </w:pPr>
      <w:r>
        <w:rPr>
          <w:rFonts w:hint="eastAsia" w:ascii="宋体" w:hAnsi="宋体"/>
          <w:sz w:val="24"/>
          <w:szCs w:val="24"/>
          <w:highlight w:val="none"/>
        </w:rPr>
        <w:t>未提交磋商响应文件；</w:t>
      </w:r>
    </w:p>
    <w:p w14:paraId="7DA21549">
      <w:pPr>
        <w:keepNext w:val="0"/>
        <w:keepLines w:val="0"/>
        <w:pageBreakBefore w:val="0"/>
        <w:widowControl w:val="0"/>
        <w:numPr>
          <w:ilvl w:val="0"/>
          <w:numId w:val="3"/>
        </w:numPr>
        <w:tabs>
          <w:tab w:val="left" w:pos="284"/>
          <w:tab w:val="left" w:pos="993"/>
        </w:tabs>
        <w:kinsoku/>
        <w:wordWrap/>
        <w:overflowPunct/>
        <w:topLinePunct w:val="0"/>
        <w:autoSpaceDE/>
        <w:autoSpaceDN/>
        <w:bidi w:val="0"/>
        <w:adjustRightInd/>
        <w:snapToGrid/>
        <w:spacing w:line="460" w:lineRule="exact"/>
        <w:ind w:left="360" w:leftChars="0" w:firstLine="476" w:firstLineChars="200"/>
        <w:jc w:val="left"/>
        <w:textAlignment w:val="auto"/>
        <w:rPr>
          <w:rFonts w:ascii="宋体" w:hAnsi="宋体"/>
          <w:sz w:val="24"/>
          <w:szCs w:val="24"/>
          <w:highlight w:val="none"/>
        </w:rPr>
      </w:pPr>
      <w:r>
        <w:rPr>
          <w:rFonts w:hint="eastAsia" w:ascii="宋体" w:hAnsi="宋体"/>
          <w:sz w:val="24"/>
          <w:szCs w:val="24"/>
          <w:highlight w:val="none"/>
        </w:rPr>
        <w:t>未提交报价一览表；</w:t>
      </w:r>
    </w:p>
    <w:p w14:paraId="65BAC25F">
      <w:pPr>
        <w:keepNext w:val="0"/>
        <w:keepLines w:val="0"/>
        <w:pageBreakBefore w:val="0"/>
        <w:widowControl w:val="0"/>
        <w:numPr>
          <w:ilvl w:val="0"/>
          <w:numId w:val="3"/>
        </w:numPr>
        <w:tabs>
          <w:tab w:val="left" w:pos="284"/>
          <w:tab w:val="left" w:pos="993"/>
        </w:tabs>
        <w:kinsoku/>
        <w:wordWrap/>
        <w:overflowPunct/>
        <w:topLinePunct w:val="0"/>
        <w:autoSpaceDE/>
        <w:autoSpaceDN/>
        <w:bidi w:val="0"/>
        <w:adjustRightInd/>
        <w:snapToGrid/>
        <w:spacing w:line="460" w:lineRule="exact"/>
        <w:ind w:left="360" w:leftChars="0" w:firstLine="476" w:firstLineChars="200"/>
        <w:jc w:val="left"/>
        <w:textAlignment w:val="auto"/>
        <w:rPr>
          <w:rFonts w:hint="eastAsia" w:ascii="宋体" w:hAnsi="宋体"/>
          <w:sz w:val="24"/>
          <w:szCs w:val="24"/>
          <w:highlight w:val="none"/>
        </w:rPr>
      </w:pPr>
      <w:r>
        <w:rPr>
          <w:rFonts w:hint="eastAsia" w:ascii="宋体" w:hAnsi="宋体"/>
          <w:sz w:val="24"/>
          <w:szCs w:val="24"/>
          <w:highlight w:val="none"/>
        </w:rPr>
        <w:t>未按照磋商文件要求提交磋商保证金；</w:t>
      </w:r>
    </w:p>
    <w:p w14:paraId="199D43B7">
      <w:pPr>
        <w:keepNext w:val="0"/>
        <w:keepLines w:val="0"/>
        <w:pageBreakBefore w:val="0"/>
        <w:widowControl w:val="0"/>
        <w:numPr>
          <w:ilvl w:val="0"/>
          <w:numId w:val="3"/>
        </w:numPr>
        <w:tabs>
          <w:tab w:val="left" w:pos="284"/>
          <w:tab w:val="left" w:pos="993"/>
        </w:tabs>
        <w:kinsoku/>
        <w:wordWrap/>
        <w:overflowPunct/>
        <w:topLinePunct w:val="0"/>
        <w:autoSpaceDE/>
        <w:autoSpaceDN/>
        <w:bidi w:val="0"/>
        <w:adjustRightInd/>
        <w:snapToGrid/>
        <w:spacing w:line="460" w:lineRule="exact"/>
        <w:ind w:left="360" w:leftChars="0" w:firstLine="476" w:firstLineChars="200"/>
        <w:jc w:val="left"/>
        <w:textAlignment w:val="auto"/>
        <w:rPr>
          <w:rFonts w:ascii="宋体" w:hAnsi="宋体"/>
          <w:sz w:val="24"/>
          <w:szCs w:val="24"/>
          <w:highlight w:val="none"/>
        </w:rPr>
      </w:pPr>
      <w:r>
        <w:rPr>
          <w:rFonts w:hint="eastAsia" w:ascii="宋体" w:hAnsi="宋体"/>
          <w:sz w:val="24"/>
          <w:szCs w:val="24"/>
          <w:highlight w:val="none"/>
        </w:rPr>
        <w:t>未在响应文件中提供提交磋商保证金的证明材料；</w:t>
      </w:r>
    </w:p>
    <w:p w14:paraId="6ED6C62F">
      <w:pPr>
        <w:keepNext w:val="0"/>
        <w:keepLines w:val="0"/>
        <w:pageBreakBefore w:val="0"/>
        <w:widowControl w:val="0"/>
        <w:numPr>
          <w:ilvl w:val="0"/>
          <w:numId w:val="3"/>
        </w:numPr>
        <w:tabs>
          <w:tab w:val="left" w:pos="284"/>
          <w:tab w:val="left" w:pos="993"/>
        </w:tabs>
        <w:kinsoku/>
        <w:wordWrap/>
        <w:overflowPunct/>
        <w:topLinePunct w:val="0"/>
        <w:autoSpaceDE/>
        <w:autoSpaceDN/>
        <w:bidi w:val="0"/>
        <w:adjustRightInd/>
        <w:snapToGrid/>
        <w:spacing w:line="460" w:lineRule="exact"/>
        <w:ind w:left="360" w:leftChars="0" w:firstLine="476" w:firstLineChars="200"/>
        <w:jc w:val="left"/>
        <w:textAlignment w:val="auto"/>
        <w:rPr>
          <w:rFonts w:hint="eastAsia" w:ascii="宋体" w:hAnsi="宋体"/>
          <w:sz w:val="24"/>
          <w:szCs w:val="24"/>
          <w:highlight w:val="none"/>
        </w:rPr>
      </w:pPr>
      <w:r>
        <w:rPr>
          <w:rFonts w:hint="eastAsia" w:ascii="宋体" w:hAnsi="宋体"/>
          <w:sz w:val="24"/>
          <w:szCs w:val="24"/>
          <w:highlight w:val="none"/>
        </w:rPr>
        <w:t>未按磋商文件要求提供资格证明文件；</w:t>
      </w:r>
    </w:p>
    <w:p w14:paraId="728FA408">
      <w:pPr>
        <w:keepNext w:val="0"/>
        <w:keepLines w:val="0"/>
        <w:pageBreakBefore w:val="0"/>
        <w:widowControl w:val="0"/>
        <w:numPr>
          <w:ilvl w:val="0"/>
          <w:numId w:val="3"/>
        </w:numPr>
        <w:tabs>
          <w:tab w:val="left" w:pos="284"/>
          <w:tab w:val="left" w:pos="993"/>
        </w:tabs>
        <w:kinsoku/>
        <w:wordWrap/>
        <w:overflowPunct/>
        <w:topLinePunct w:val="0"/>
        <w:autoSpaceDE/>
        <w:autoSpaceDN/>
        <w:bidi w:val="0"/>
        <w:adjustRightInd/>
        <w:snapToGrid/>
        <w:spacing w:line="460" w:lineRule="exact"/>
        <w:ind w:left="360" w:leftChars="0" w:firstLine="476" w:firstLineChars="200"/>
        <w:jc w:val="left"/>
        <w:textAlignment w:val="auto"/>
        <w:rPr>
          <w:rFonts w:hint="eastAsia" w:ascii="宋体" w:hAnsi="宋体"/>
          <w:sz w:val="24"/>
          <w:szCs w:val="24"/>
          <w:highlight w:val="none"/>
        </w:rPr>
      </w:pPr>
      <w:r>
        <w:rPr>
          <w:rFonts w:hint="eastAsia" w:ascii="宋体" w:hAnsi="宋体"/>
          <w:sz w:val="24"/>
          <w:szCs w:val="24"/>
          <w:highlight w:val="none"/>
        </w:rPr>
        <w:t>非法定代表人本人参与磋商，未提交有效的法定代表人授权书；</w:t>
      </w:r>
    </w:p>
    <w:p w14:paraId="2C0FA5B4">
      <w:pPr>
        <w:keepNext w:val="0"/>
        <w:keepLines w:val="0"/>
        <w:pageBreakBefore w:val="0"/>
        <w:widowControl w:val="0"/>
        <w:numPr>
          <w:ilvl w:val="0"/>
          <w:numId w:val="3"/>
        </w:numPr>
        <w:tabs>
          <w:tab w:val="left" w:pos="284"/>
          <w:tab w:val="left" w:pos="993"/>
        </w:tabs>
        <w:kinsoku/>
        <w:wordWrap/>
        <w:overflowPunct/>
        <w:topLinePunct w:val="0"/>
        <w:autoSpaceDE/>
        <w:autoSpaceDN/>
        <w:bidi w:val="0"/>
        <w:adjustRightInd/>
        <w:snapToGrid/>
        <w:spacing w:line="460" w:lineRule="exact"/>
        <w:ind w:left="360" w:leftChars="0" w:firstLine="476" w:firstLineChars="200"/>
        <w:jc w:val="left"/>
        <w:textAlignment w:val="auto"/>
        <w:rPr>
          <w:rFonts w:hint="eastAsia" w:ascii="宋体" w:hAnsi="宋体"/>
          <w:sz w:val="24"/>
          <w:szCs w:val="24"/>
          <w:highlight w:val="none"/>
        </w:rPr>
      </w:pPr>
      <w:r>
        <w:rPr>
          <w:rFonts w:hint="eastAsia" w:ascii="宋体" w:hAnsi="宋体"/>
          <w:sz w:val="24"/>
          <w:szCs w:val="24"/>
          <w:highlight w:val="none"/>
        </w:rPr>
        <w:t>磋商有效期响应不足；</w:t>
      </w:r>
    </w:p>
    <w:p w14:paraId="0805986D">
      <w:pPr>
        <w:keepNext w:val="0"/>
        <w:keepLines w:val="0"/>
        <w:pageBreakBefore w:val="0"/>
        <w:widowControl w:val="0"/>
        <w:numPr>
          <w:ilvl w:val="0"/>
          <w:numId w:val="3"/>
        </w:numPr>
        <w:tabs>
          <w:tab w:val="left" w:pos="284"/>
          <w:tab w:val="left" w:pos="993"/>
        </w:tabs>
        <w:kinsoku/>
        <w:wordWrap/>
        <w:overflowPunct/>
        <w:topLinePunct w:val="0"/>
        <w:autoSpaceDE/>
        <w:autoSpaceDN/>
        <w:bidi w:val="0"/>
        <w:adjustRightInd/>
        <w:snapToGrid/>
        <w:spacing w:line="460" w:lineRule="exact"/>
        <w:ind w:left="360" w:leftChars="0" w:firstLine="476" w:firstLineChars="200"/>
        <w:jc w:val="left"/>
        <w:textAlignment w:val="auto"/>
        <w:rPr>
          <w:rFonts w:hint="eastAsia" w:ascii="宋体" w:hAnsi="宋体"/>
          <w:sz w:val="24"/>
          <w:szCs w:val="24"/>
          <w:highlight w:val="none"/>
        </w:rPr>
      </w:pPr>
      <w:r>
        <w:rPr>
          <w:rFonts w:hint="eastAsia" w:ascii="宋体" w:hAnsi="宋体"/>
          <w:sz w:val="24"/>
          <w:szCs w:val="24"/>
          <w:highlight w:val="none"/>
        </w:rPr>
        <w:t>有磋商文件当中已列明的其他导致无效响应的因素；</w:t>
      </w:r>
    </w:p>
    <w:p w14:paraId="5F47F9CC">
      <w:pPr>
        <w:keepNext w:val="0"/>
        <w:keepLines w:val="0"/>
        <w:pageBreakBefore w:val="0"/>
        <w:widowControl w:val="0"/>
        <w:numPr>
          <w:ilvl w:val="0"/>
          <w:numId w:val="3"/>
        </w:numPr>
        <w:tabs>
          <w:tab w:val="left" w:pos="284"/>
          <w:tab w:val="left" w:pos="993"/>
        </w:tabs>
        <w:kinsoku/>
        <w:wordWrap/>
        <w:overflowPunct/>
        <w:topLinePunct w:val="0"/>
        <w:autoSpaceDE/>
        <w:autoSpaceDN/>
        <w:bidi w:val="0"/>
        <w:adjustRightInd/>
        <w:snapToGrid/>
        <w:spacing w:line="460" w:lineRule="exact"/>
        <w:ind w:left="360" w:leftChars="0" w:firstLine="476" w:firstLineChars="200"/>
        <w:jc w:val="left"/>
        <w:textAlignment w:val="auto"/>
        <w:rPr>
          <w:rFonts w:hint="eastAsia" w:ascii="宋体" w:hAnsi="宋体"/>
          <w:sz w:val="24"/>
          <w:szCs w:val="24"/>
          <w:highlight w:val="none"/>
        </w:rPr>
      </w:pPr>
      <w:r>
        <w:rPr>
          <w:rFonts w:hint="eastAsia" w:ascii="宋体" w:hAnsi="宋体"/>
          <w:sz w:val="24"/>
          <w:szCs w:val="24"/>
          <w:highlight w:val="none"/>
        </w:rPr>
        <w:t>发现供应商以他人名义参加磋商或相互之间串通，或者以其他弄虚作假方式参加磋商的。</w:t>
      </w:r>
    </w:p>
    <w:p w14:paraId="6CF85679">
      <w:pPr>
        <w:keepNext w:val="0"/>
        <w:keepLines w:val="0"/>
        <w:pageBreakBefore w:val="0"/>
        <w:tabs>
          <w:tab w:val="left" w:pos="284"/>
          <w:tab w:val="left" w:pos="993"/>
        </w:tabs>
        <w:wordWrap/>
        <w:overflowPunct/>
        <w:topLinePunct w:val="0"/>
        <w:bidi w:val="0"/>
        <w:spacing w:line="460" w:lineRule="exact"/>
        <w:ind w:firstLine="478" w:firstLineChars="200"/>
        <w:rPr>
          <w:rFonts w:ascii="宋体" w:hAnsi="宋体" w:cs="宋体"/>
          <w:b/>
          <w:bCs/>
          <w:sz w:val="24"/>
          <w:szCs w:val="24"/>
          <w:highlight w:val="none"/>
        </w:rPr>
      </w:pPr>
      <w:r>
        <w:rPr>
          <w:rFonts w:hint="eastAsia" w:ascii="宋体" w:hAnsi="宋体" w:cs="宋体"/>
          <w:b/>
          <w:bCs/>
          <w:sz w:val="24"/>
          <w:szCs w:val="24"/>
          <w:highlight w:val="none"/>
          <w:lang w:eastAsia="zh-CN"/>
        </w:rPr>
        <w:t>（</w:t>
      </w:r>
      <w:r>
        <w:rPr>
          <w:rFonts w:hint="eastAsia" w:ascii="宋体" w:hAnsi="宋体" w:cs="宋体"/>
          <w:b/>
          <w:bCs/>
          <w:sz w:val="24"/>
          <w:szCs w:val="24"/>
          <w:highlight w:val="none"/>
        </w:rPr>
        <w:t>二</w:t>
      </w:r>
      <w:r>
        <w:rPr>
          <w:rFonts w:hint="eastAsia" w:ascii="宋体" w:hAnsi="宋体" w:cs="宋体"/>
          <w:b/>
          <w:bCs/>
          <w:sz w:val="24"/>
          <w:szCs w:val="24"/>
          <w:highlight w:val="none"/>
          <w:lang w:eastAsia="zh-CN"/>
        </w:rPr>
        <w:t>）</w:t>
      </w:r>
      <w:r>
        <w:rPr>
          <w:rFonts w:hint="eastAsia" w:ascii="宋体" w:hAnsi="宋体" w:cs="宋体"/>
          <w:b/>
          <w:bCs/>
          <w:sz w:val="24"/>
          <w:szCs w:val="24"/>
          <w:highlight w:val="none"/>
        </w:rPr>
        <w:t>资格性、符合性审查</w:t>
      </w:r>
    </w:p>
    <w:tbl>
      <w:tblPr>
        <w:tblStyle w:val="25"/>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5"/>
        <w:gridCol w:w="8494"/>
      </w:tblGrid>
      <w:tr w14:paraId="66B2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6" w:type="dxa"/>
            <w:noWrap w:val="0"/>
            <w:tcMar>
              <w:top w:w="15" w:type="dxa"/>
              <w:left w:w="15" w:type="dxa"/>
              <w:right w:w="15" w:type="dxa"/>
            </w:tcMar>
            <w:vAlign w:val="center"/>
          </w:tcPr>
          <w:p w14:paraId="0AB2E15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color w:val="000000"/>
                <w:sz w:val="24"/>
                <w:szCs w:val="24"/>
              </w:rPr>
            </w:pPr>
            <w:bookmarkStart w:id="14" w:name="_Hlk99384377"/>
            <w:r>
              <w:rPr>
                <w:rFonts w:hint="eastAsia" w:ascii="宋体" w:hAnsi="宋体" w:eastAsia="宋体" w:cs="宋体"/>
                <w:b/>
                <w:bCs/>
                <w:color w:val="000000"/>
                <w:sz w:val="24"/>
                <w:szCs w:val="24"/>
              </w:rPr>
              <w:t>序号</w:t>
            </w:r>
          </w:p>
        </w:tc>
        <w:tc>
          <w:tcPr>
            <w:tcW w:w="8184" w:type="dxa"/>
            <w:noWrap w:val="0"/>
            <w:tcMar>
              <w:top w:w="15" w:type="dxa"/>
              <w:left w:w="15" w:type="dxa"/>
              <w:right w:w="15" w:type="dxa"/>
            </w:tcMar>
            <w:vAlign w:val="center"/>
          </w:tcPr>
          <w:p w14:paraId="46EDAB3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审查内容及依据</w:t>
            </w:r>
          </w:p>
        </w:tc>
      </w:tr>
      <w:tr w14:paraId="2F54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960" w:type="dxa"/>
            <w:gridSpan w:val="2"/>
            <w:noWrap w:val="0"/>
            <w:tcMar>
              <w:top w:w="15" w:type="dxa"/>
              <w:left w:w="15" w:type="dxa"/>
              <w:right w:w="15" w:type="dxa"/>
            </w:tcMar>
            <w:vAlign w:val="center"/>
          </w:tcPr>
          <w:p w14:paraId="725AEE8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sz w:val="24"/>
                <w:szCs w:val="24"/>
              </w:rPr>
            </w:pPr>
            <w:r>
              <w:rPr>
                <w:rFonts w:hint="eastAsia" w:ascii="宋体" w:hAnsi="宋体" w:eastAsia="宋体" w:cs="宋体"/>
                <w:b/>
                <w:bCs/>
                <w:color w:val="000000"/>
                <w:kern w:val="0"/>
                <w:sz w:val="24"/>
                <w:szCs w:val="24"/>
                <w:lang w:bidi="ar"/>
              </w:rPr>
              <w:t>（一）资格性审查</w:t>
            </w:r>
          </w:p>
        </w:tc>
      </w:tr>
      <w:tr w14:paraId="4FEE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6" w:type="dxa"/>
            <w:noWrap w:val="0"/>
            <w:tcMar>
              <w:top w:w="15" w:type="dxa"/>
              <w:left w:w="15" w:type="dxa"/>
              <w:right w:w="15" w:type="dxa"/>
            </w:tcMar>
            <w:vAlign w:val="center"/>
          </w:tcPr>
          <w:p w14:paraId="53A7AEA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w:t>
            </w:r>
          </w:p>
        </w:tc>
        <w:tc>
          <w:tcPr>
            <w:tcW w:w="8184" w:type="dxa"/>
            <w:noWrap w:val="0"/>
            <w:tcMar>
              <w:top w:w="15" w:type="dxa"/>
              <w:left w:w="15" w:type="dxa"/>
              <w:right w:w="15" w:type="dxa"/>
            </w:tcMar>
            <w:vAlign w:val="center"/>
          </w:tcPr>
          <w:p w14:paraId="72E7BFF4">
            <w:pPr>
              <w:keepNext w:val="0"/>
              <w:keepLines w:val="0"/>
              <w:pageBreakBefore w:val="0"/>
              <w:widowControl/>
              <w:kinsoku/>
              <w:wordWrap/>
              <w:overflowPunct/>
              <w:topLinePunct w:val="0"/>
              <w:autoSpaceDE/>
              <w:autoSpaceDN/>
              <w:bidi w:val="0"/>
              <w:adjustRightInd/>
              <w:snapToGrid/>
              <w:spacing w:line="460" w:lineRule="exact"/>
              <w:jc w:val="left"/>
              <w:rPr>
                <w:rFonts w:hint="eastAsia" w:ascii="宋体" w:hAnsi="宋体" w:eastAsia="宋体" w:cs="宋体"/>
                <w:color w:val="333333"/>
                <w:kern w:val="0"/>
                <w:sz w:val="24"/>
                <w:szCs w:val="24"/>
                <w:highlight w:val="none"/>
                <w:shd w:val="clear" w:color="auto" w:fill="FFFFFF"/>
              </w:rPr>
            </w:pPr>
            <w:r>
              <w:rPr>
                <w:rFonts w:hint="eastAsia" w:ascii="宋体" w:hAnsi="宋体" w:eastAsia="宋体" w:cs="宋体"/>
                <w:color w:val="333333"/>
                <w:kern w:val="0"/>
                <w:sz w:val="24"/>
                <w:szCs w:val="24"/>
                <w:highlight w:val="none"/>
                <w:shd w:val="clear" w:color="auto" w:fill="FFFFFF"/>
              </w:rPr>
              <w:t>1.满足</w:t>
            </w:r>
            <w:r>
              <w:rPr>
                <w:rFonts w:hint="eastAsia" w:ascii="宋体" w:hAnsi="宋体" w:eastAsia="宋体" w:cs="宋体"/>
                <w:color w:val="333333"/>
                <w:kern w:val="0"/>
                <w:sz w:val="24"/>
                <w:szCs w:val="24"/>
                <w:highlight w:val="none"/>
                <w:shd w:val="clear" w:color="auto" w:fill="FFFFFF"/>
                <w:lang w:eastAsia="zh-CN"/>
              </w:rPr>
              <w:t>以下</w:t>
            </w:r>
            <w:r>
              <w:rPr>
                <w:rFonts w:hint="eastAsia" w:ascii="宋体" w:hAnsi="宋体" w:eastAsia="宋体" w:cs="宋体"/>
                <w:color w:val="333333"/>
                <w:kern w:val="0"/>
                <w:sz w:val="24"/>
                <w:szCs w:val="24"/>
                <w:highlight w:val="none"/>
                <w:shd w:val="clear" w:color="auto" w:fill="FFFFFF"/>
              </w:rPr>
              <w:t>规定：</w:t>
            </w:r>
          </w:p>
          <w:p w14:paraId="54C443D6">
            <w:pPr>
              <w:keepNext w:val="0"/>
              <w:keepLines w:val="0"/>
              <w:pageBreakBefore w:val="0"/>
              <w:widowControl/>
              <w:kinsoku/>
              <w:wordWrap/>
              <w:overflowPunct/>
              <w:topLinePunct w:val="0"/>
              <w:autoSpaceDE/>
              <w:autoSpaceDN/>
              <w:bidi w:val="0"/>
              <w:adjustRightInd/>
              <w:snapToGrid/>
              <w:spacing w:line="460" w:lineRule="exact"/>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（1）具有独立承担民事责任的能力；</w:t>
            </w:r>
          </w:p>
          <w:p w14:paraId="246F8EB5">
            <w:pPr>
              <w:keepNext w:val="0"/>
              <w:keepLines w:val="0"/>
              <w:pageBreakBefore w:val="0"/>
              <w:widowControl/>
              <w:kinsoku/>
              <w:wordWrap/>
              <w:overflowPunct/>
              <w:topLinePunct w:val="0"/>
              <w:autoSpaceDE/>
              <w:autoSpaceDN/>
              <w:bidi w:val="0"/>
              <w:adjustRightInd/>
              <w:snapToGrid/>
              <w:spacing w:line="460" w:lineRule="exact"/>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（2）具有良好的商业信誉和健全的财务会计制度；</w:t>
            </w:r>
          </w:p>
          <w:p w14:paraId="10AB8E3A">
            <w:pPr>
              <w:keepNext w:val="0"/>
              <w:keepLines w:val="0"/>
              <w:pageBreakBefore w:val="0"/>
              <w:widowControl/>
              <w:kinsoku/>
              <w:wordWrap/>
              <w:overflowPunct/>
              <w:topLinePunct w:val="0"/>
              <w:autoSpaceDE/>
              <w:autoSpaceDN/>
              <w:bidi w:val="0"/>
              <w:adjustRightInd/>
              <w:snapToGrid/>
              <w:spacing w:line="460" w:lineRule="exact"/>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（3）具有履行合同所必需的设备和专业技术能力；</w:t>
            </w:r>
          </w:p>
          <w:p w14:paraId="6D4567AF">
            <w:pPr>
              <w:keepNext w:val="0"/>
              <w:keepLines w:val="0"/>
              <w:pageBreakBefore w:val="0"/>
              <w:widowControl/>
              <w:kinsoku/>
              <w:wordWrap/>
              <w:overflowPunct/>
              <w:topLinePunct w:val="0"/>
              <w:autoSpaceDE/>
              <w:autoSpaceDN/>
              <w:bidi w:val="0"/>
              <w:adjustRightInd/>
              <w:snapToGrid/>
              <w:spacing w:line="460" w:lineRule="exact"/>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（4）有依法缴纳税收和社会保障资金的良好记录；</w:t>
            </w:r>
          </w:p>
          <w:p w14:paraId="7094646B">
            <w:pPr>
              <w:keepNext w:val="0"/>
              <w:keepLines w:val="0"/>
              <w:pageBreakBefore w:val="0"/>
              <w:widowControl/>
              <w:kinsoku/>
              <w:wordWrap/>
              <w:overflowPunct/>
              <w:topLinePunct w:val="0"/>
              <w:autoSpaceDE/>
              <w:autoSpaceDN/>
              <w:bidi w:val="0"/>
              <w:adjustRightInd/>
              <w:snapToGrid/>
              <w:spacing w:line="460" w:lineRule="exact"/>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（5）</w:t>
            </w:r>
            <w:r>
              <w:rPr>
                <w:rFonts w:hint="eastAsia" w:ascii="宋体" w:hAnsi="宋体" w:eastAsia="宋体" w:cs="宋体"/>
                <w:color w:val="000000"/>
                <w:kern w:val="0"/>
                <w:sz w:val="24"/>
                <w:szCs w:val="24"/>
                <w:highlight w:val="none"/>
                <w:shd w:val="clear" w:color="auto" w:fill="FFFFFF"/>
                <w:lang w:eastAsia="zh-CN"/>
              </w:rPr>
              <w:t>参加本次采购活动</w:t>
            </w:r>
            <w:r>
              <w:rPr>
                <w:rFonts w:hint="eastAsia" w:ascii="宋体" w:hAnsi="宋体" w:eastAsia="宋体" w:cs="宋体"/>
                <w:color w:val="auto"/>
                <w:kern w:val="0"/>
                <w:sz w:val="24"/>
                <w:szCs w:val="24"/>
                <w:highlight w:val="none"/>
                <w:shd w:val="clear" w:color="auto" w:fill="FFFFFF"/>
                <w:lang w:eastAsia="zh-CN"/>
              </w:rPr>
              <w:t>前三年内,</w:t>
            </w:r>
            <w:r>
              <w:rPr>
                <w:rFonts w:hint="eastAsia" w:ascii="宋体" w:hAnsi="宋体" w:eastAsia="宋体" w:cs="宋体"/>
                <w:color w:val="auto"/>
                <w:kern w:val="0"/>
                <w:sz w:val="24"/>
                <w:szCs w:val="24"/>
                <w:highlight w:val="none"/>
                <w:shd w:val="clear" w:color="auto" w:fill="FFFFFF"/>
              </w:rPr>
              <w:t>在经营活动中没有重大违法记录；</w:t>
            </w:r>
          </w:p>
          <w:p w14:paraId="3DBBF4D7">
            <w:pPr>
              <w:keepNext w:val="0"/>
              <w:keepLines w:val="0"/>
              <w:pageBreakBefore w:val="0"/>
              <w:widowControl/>
              <w:kinsoku/>
              <w:wordWrap/>
              <w:overflowPunct/>
              <w:topLinePunct w:val="0"/>
              <w:autoSpaceDE/>
              <w:autoSpaceDN/>
              <w:bidi w:val="0"/>
              <w:adjustRightInd/>
              <w:snapToGrid/>
              <w:spacing w:line="460" w:lineRule="exact"/>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（6）法律、行政法规规定的其他条件。</w:t>
            </w:r>
          </w:p>
          <w:p w14:paraId="1BAD55D4">
            <w:pPr>
              <w:keepNext w:val="0"/>
              <w:keepLines w:val="0"/>
              <w:pageBreakBefore w:val="0"/>
              <w:tabs>
                <w:tab w:val="left" w:pos="5329"/>
              </w:tabs>
              <w:kinsoku/>
              <w:wordWrap/>
              <w:overflowPunct/>
              <w:topLinePunct w:val="0"/>
              <w:autoSpaceDE/>
              <w:autoSpaceDN/>
              <w:bidi w:val="0"/>
              <w:adjustRightInd/>
              <w:snapToGrid/>
              <w:spacing w:line="460" w:lineRule="exact"/>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2.单位负责人为同一人或者存在直接控股、管理关系的不同</w:t>
            </w:r>
            <w:r>
              <w:rPr>
                <w:rFonts w:hint="eastAsia" w:ascii="宋体" w:hAnsi="宋体" w:eastAsia="宋体" w:cs="宋体"/>
                <w:color w:val="auto"/>
                <w:kern w:val="0"/>
                <w:sz w:val="24"/>
                <w:szCs w:val="24"/>
                <w:highlight w:val="none"/>
                <w:shd w:val="clear" w:color="auto" w:fill="FFFFFF"/>
                <w:lang w:eastAsia="zh-CN"/>
              </w:rPr>
              <w:t>供应商</w:t>
            </w:r>
            <w:r>
              <w:rPr>
                <w:rFonts w:hint="eastAsia" w:ascii="宋体" w:hAnsi="宋体" w:eastAsia="宋体" w:cs="宋体"/>
                <w:color w:val="auto"/>
                <w:kern w:val="0"/>
                <w:sz w:val="24"/>
                <w:szCs w:val="24"/>
                <w:highlight w:val="none"/>
                <w:shd w:val="clear" w:color="auto" w:fill="FFFFFF"/>
              </w:rPr>
              <w:t>，不得参加同一合同项下的</w:t>
            </w:r>
            <w:r>
              <w:rPr>
                <w:rFonts w:hint="eastAsia" w:ascii="宋体" w:hAnsi="宋体" w:eastAsia="宋体" w:cs="宋体"/>
                <w:color w:val="auto"/>
                <w:kern w:val="0"/>
                <w:sz w:val="24"/>
                <w:szCs w:val="24"/>
                <w:highlight w:val="none"/>
                <w:shd w:val="clear" w:color="auto" w:fill="FFFFFF"/>
                <w:lang w:val="en-US" w:eastAsia="zh-CN"/>
              </w:rPr>
              <w:t>采购</w:t>
            </w:r>
            <w:r>
              <w:rPr>
                <w:rFonts w:hint="eastAsia" w:ascii="宋体" w:hAnsi="宋体" w:eastAsia="宋体" w:cs="宋体"/>
                <w:color w:val="auto"/>
                <w:kern w:val="0"/>
                <w:sz w:val="24"/>
                <w:szCs w:val="24"/>
                <w:highlight w:val="none"/>
                <w:shd w:val="clear" w:color="auto" w:fill="FFFFFF"/>
                <w:lang w:eastAsia="zh-CN"/>
              </w:rPr>
              <w:t>活动</w:t>
            </w:r>
            <w:r>
              <w:rPr>
                <w:rFonts w:hint="eastAsia" w:ascii="宋体" w:hAnsi="宋体" w:eastAsia="宋体" w:cs="宋体"/>
                <w:color w:val="auto"/>
                <w:kern w:val="0"/>
                <w:sz w:val="24"/>
                <w:szCs w:val="24"/>
                <w:highlight w:val="none"/>
                <w:shd w:val="clear" w:color="auto" w:fill="FFFFFF"/>
              </w:rPr>
              <w:t>。为本项目提供整体设计、规范编制或者项目管理、监理、检测等服务的</w:t>
            </w:r>
            <w:r>
              <w:rPr>
                <w:rFonts w:hint="eastAsia" w:ascii="宋体" w:hAnsi="宋体" w:eastAsia="宋体" w:cs="宋体"/>
                <w:color w:val="auto"/>
                <w:kern w:val="0"/>
                <w:sz w:val="24"/>
                <w:szCs w:val="24"/>
                <w:highlight w:val="none"/>
                <w:shd w:val="clear" w:color="auto" w:fill="FFFFFF"/>
                <w:lang w:eastAsia="zh-CN"/>
              </w:rPr>
              <w:t>供应商</w:t>
            </w:r>
            <w:r>
              <w:rPr>
                <w:rFonts w:hint="eastAsia" w:ascii="宋体" w:hAnsi="宋体" w:eastAsia="宋体" w:cs="宋体"/>
                <w:color w:val="auto"/>
                <w:kern w:val="0"/>
                <w:sz w:val="24"/>
                <w:szCs w:val="24"/>
                <w:highlight w:val="none"/>
                <w:shd w:val="clear" w:color="auto" w:fill="FFFFFF"/>
              </w:rPr>
              <w:t>不得参加本项目的采购活动。</w:t>
            </w:r>
          </w:p>
          <w:p w14:paraId="297393FC">
            <w:pPr>
              <w:keepNext w:val="0"/>
              <w:keepLines w:val="0"/>
              <w:pageBreakBefore w:val="0"/>
              <w:tabs>
                <w:tab w:val="left" w:pos="5329"/>
              </w:tabs>
              <w:kinsoku/>
              <w:wordWrap/>
              <w:overflowPunct/>
              <w:topLinePunct w:val="0"/>
              <w:autoSpaceDE/>
              <w:autoSpaceDN/>
              <w:bidi w:val="0"/>
              <w:adjustRightInd/>
              <w:snapToGrid/>
              <w:spacing w:line="460" w:lineRule="exact"/>
              <w:jc w:val="left"/>
              <w:rPr>
                <w:rFonts w:hint="eastAsia" w:ascii="宋体" w:hAnsi="宋体" w:eastAsia="宋体" w:cs="宋体"/>
                <w:b/>
                <w:bCs/>
                <w:color w:val="auto"/>
                <w:kern w:val="0"/>
                <w:sz w:val="24"/>
                <w:szCs w:val="24"/>
                <w:highlight w:val="none"/>
                <w:shd w:val="clear" w:color="auto" w:fill="FFFFFF"/>
              </w:rPr>
            </w:pPr>
            <w:r>
              <w:rPr>
                <w:rFonts w:hint="eastAsia" w:ascii="宋体" w:hAnsi="宋体" w:eastAsia="宋体" w:cs="宋体"/>
                <w:b/>
                <w:bCs/>
                <w:color w:val="auto"/>
                <w:kern w:val="0"/>
                <w:sz w:val="24"/>
                <w:szCs w:val="24"/>
                <w:highlight w:val="none"/>
                <w:shd w:val="clear" w:color="auto" w:fill="FFFFFF"/>
                <w:lang w:eastAsia="zh-CN"/>
              </w:rPr>
              <w:t>【</w:t>
            </w:r>
            <w:r>
              <w:rPr>
                <w:rFonts w:hint="eastAsia" w:ascii="宋体" w:hAnsi="宋体" w:eastAsia="宋体" w:cs="宋体"/>
                <w:b/>
                <w:bCs/>
                <w:color w:val="auto"/>
                <w:kern w:val="0"/>
                <w:sz w:val="24"/>
                <w:szCs w:val="24"/>
                <w:highlight w:val="none"/>
                <w:shd w:val="clear" w:color="auto" w:fill="FFFFFF"/>
                <w:lang w:val="en-US" w:eastAsia="zh-CN"/>
              </w:rPr>
              <w:t>以上1～2项</w:t>
            </w:r>
            <w:r>
              <w:rPr>
                <w:rFonts w:hint="eastAsia" w:ascii="宋体" w:hAnsi="宋体" w:eastAsia="宋体" w:cs="宋体"/>
                <w:b/>
                <w:bCs/>
                <w:color w:val="auto"/>
                <w:kern w:val="0"/>
                <w:sz w:val="24"/>
                <w:szCs w:val="24"/>
                <w:highlight w:val="none"/>
                <w:shd w:val="clear" w:color="auto" w:fill="FFFFFF"/>
              </w:rPr>
              <w:t>提供《资格信用承诺函》或提供</w:t>
            </w:r>
            <w:r>
              <w:rPr>
                <w:rFonts w:hint="eastAsia" w:ascii="宋体" w:hAnsi="宋体" w:eastAsia="宋体" w:cs="宋体"/>
                <w:b/>
                <w:bCs/>
                <w:color w:val="auto"/>
                <w:kern w:val="0"/>
                <w:sz w:val="24"/>
                <w:szCs w:val="24"/>
                <w:highlight w:val="none"/>
                <w:shd w:val="clear" w:color="auto" w:fill="FFFFFF"/>
                <w:lang w:val="en-US" w:eastAsia="zh-CN"/>
              </w:rPr>
              <w:t>磋商</w:t>
            </w:r>
            <w:r>
              <w:rPr>
                <w:rFonts w:hint="eastAsia" w:ascii="宋体" w:hAnsi="宋体" w:eastAsia="宋体" w:cs="宋体"/>
                <w:b/>
                <w:bCs/>
                <w:color w:val="auto"/>
                <w:kern w:val="0"/>
                <w:sz w:val="24"/>
                <w:szCs w:val="24"/>
                <w:highlight w:val="none"/>
                <w:shd w:val="clear" w:color="auto" w:fill="FFFFFF"/>
              </w:rPr>
              <w:t>文件要求提供对应事项证明材料（未提供承诺函又未按照</w:t>
            </w:r>
            <w:r>
              <w:rPr>
                <w:rFonts w:hint="eastAsia" w:ascii="宋体" w:hAnsi="宋体" w:eastAsia="宋体" w:cs="宋体"/>
                <w:b/>
                <w:bCs/>
                <w:color w:val="auto"/>
                <w:kern w:val="0"/>
                <w:sz w:val="24"/>
                <w:szCs w:val="24"/>
                <w:highlight w:val="none"/>
                <w:shd w:val="clear" w:color="auto" w:fill="FFFFFF"/>
                <w:lang w:val="en-US" w:eastAsia="zh-CN"/>
              </w:rPr>
              <w:t>磋商</w:t>
            </w:r>
            <w:r>
              <w:rPr>
                <w:rFonts w:hint="eastAsia" w:ascii="宋体" w:hAnsi="宋体" w:eastAsia="宋体" w:cs="宋体"/>
                <w:b/>
                <w:bCs/>
                <w:color w:val="auto"/>
                <w:kern w:val="0"/>
                <w:sz w:val="24"/>
                <w:szCs w:val="24"/>
                <w:highlight w:val="none"/>
                <w:shd w:val="clear" w:color="auto" w:fill="FFFFFF"/>
              </w:rPr>
              <w:t>文件要求提供对应事项证明材料的，按无效</w:t>
            </w:r>
            <w:r>
              <w:rPr>
                <w:rFonts w:hint="eastAsia" w:ascii="宋体" w:hAnsi="宋体" w:eastAsia="宋体" w:cs="宋体"/>
                <w:b/>
                <w:bCs/>
                <w:color w:val="auto"/>
                <w:kern w:val="0"/>
                <w:sz w:val="24"/>
                <w:szCs w:val="24"/>
                <w:highlight w:val="none"/>
                <w:shd w:val="clear" w:color="auto" w:fill="FFFFFF"/>
                <w:lang w:val="en-US" w:eastAsia="zh-CN"/>
              </w:rPr>
              <w:t>响应</w:t>
            </w:r>
            <w:r>
              <w:rPr>
                <w:rFonts w:hint="eastAsia" w:ascii="宋体" w:hAnsi="宋体" w:eastAsia="宋体" w:cs="宋体"/>
                <w:b/>
                <w:bCs/>
                <w:color w:val="auto"/>
                <w:kern w:val="0"/>
                <w:sz w:val="24"/>
                <w:szCs w:val="24"/>
                <w:highlight w:val="none"/>
                <w:shd w:val="clear" w:color="auto" w:fill="FFFFFF"/>
              </w:rPr>
              <w:t>处理）</w:t>
            </w:r>
            <w:r>
              <w:rPr>
                <w:rFonts w:hint="eastAsia" w:ascii="宋体" w:hAnsi="宋体" w:eastAsia="宋体" w:cs="宋体"/>
                <w:b/>
                <w:bCs/>
                <w:color w:val="auto"/>
                <w:kern w:val="0"/>
                <w:sz w:val="24"/>
                <w:szCs w:val="24"/>
                <w:highlight w:val="none"/>
                <w:shd w:val="clear" w:color="auto" w:fill="FFFFFF"/>
                <w:lang w:eastAsia="zh-CN"/>
              </w:rPr>
              <w:t>】</w:t>
            </w:r>
          </w:p>
          <w:p w14:paraId="19B5F9D5">
            <w:pPr>
              <w:keepNext w:val="0"/>
              <w:keepLines w:val="0"/>
              <w:pageBreakBefore w:val="0"/>
              <w:kinsoku/>
              <w:wordWrap/>
              <w:overflowPunct/>
              <w:topLinePunct w:val="0"/>
              <w:autoSpaceDE/>
              <w:autoSpaceDN/>
              <w:bidi w:val="0"/>
              <w:adjustRightInd/>
              <w:snapToGrid/>
              <w:spacing w:line="460" w:lineRule="exact"/>
              <w:jc w:val="both"/>
              <w:rPr>
                <w:rFonts w:hint="eastAsia" w:ascii="宋体" w:hAnsi="宋体" w:eastAsia="宋体" w:cs="宋体"/>
                <w:sz w:val="24"/>
                <w:szCs w:val="24"/>
              </w:rPr>
            </w:pPr>
            <w:r>
              <w:rPr>
                <w:rFonts w:hint="eastAsia" w:ascii="宋体" w:hAnsi="宋体" w:eastAsia="宋体" w:cs="宋体"/>
                <w:b/>
                <w:bCs/>
                <w:color w:val="auto"/>
                <w:sz w:val="24"/>
                <w:szCs w:val="24"/>
              </w:rPr>
              <w:t>注：</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提供信用承诺函的，采购人有权在</w:t>
            </w:r>
            <w:r>
              <w:rPr>
                <w:rFonts w:hint="eastAsia" w:ascii="宋体" w:hAnsi="宋体" w:eastAsia="宋体" w:cs="宋体"/>
                <w:b/>
                <w:bCs/>
                <w:sz w:val="24"/>
                <w:szCs w:val="24"/>
              </w:rPr>
              <w:t>确定</w:t>
            </w:r>
            <w:r>
              <w:rPr>
                <w:rFonts w:hint="eastAsia" w:ascii="宋体" w:hAnsi="宋体" w:eastAsia="宋体" w:cs="宋体"/>
                <w:b/>
                <w:bCs/>
                <w:sz w:val="24"/>
                <w:szCs w:val="24"/>
                <w:lang w:val="en-US" w:eastAsia="zh-CN"/>
              </w:rPr>
              <w:t>成交</w:t>
            </w:r>
            <w:r>
              <w:rPr>
                <w:rFonts w:hint="eastAsia" w:ascii="宋体" w:hAnsi="宋体" w:eastAsia="宋体" w:cs="宋体"/>
                <w:b/>
                <w:bCs/>
                <w:sz w:val="24"/>
                <w:szCs w:val="24"/>
              </w:rPr>
              <w:t>结果后、签订采购合同前，核实</w:t>
            </w:r>
            <w:r>
              <w:rPr>
                <w:rFonts w:hint="eastAsia" w:ascii="宋体" w:hAnsi="宋体" w:eastAsia="宋体" w:cs="宋体"/>
                <w:b/>
                <w:bCs/>
                <w:sz w:val="24"/>
                <w:szCs w:val="24"/>
                <w:lang w:val="en-US" w:eastAsia="zh-CN"/>
              </w:rPr>
              <w:t>成交供应商</w:t>
            </w:r>
            <w:r>
              <w:rPr>
                <w:rFonts w:hint="eastAsia" w:ascii="宋体" w:hAnsi="宋体" w:eastAsia="宋体" w:cs="宋体"/>
                <w:b/>
                <w:bCs/>
                <w:sz w:val="24"/>
                <w:szCs w:val="24"/>
              </w:rPr>
              <w:t>所作信用承诺事项的真实性，</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应对提供虚假承诺行为承担相应的法律责任。</w:t>
            </w:r>
          </w:p>
        </w:tc>
      </w:tr>
      <w:tr w14:paraId="6223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6" w:type="dxa"/>
            <w:noWrap w:val="0"/>
            <w:tcMar>
              <w:top w:w="15" w:type="dxa"/>
              <w:left w:w="15" w:type="dxa"/>
              <w:right w:w="15" w:type="dxa"/>
            </w:tcMar>
            <w:vAlign w:val="center"/>
          </w:tcPr>
          <w:p w14:paraId="0FB18BB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2</w:t>
            </w:r>
          </w:p>
        </w:tc>
        <w:tc>
          <w:tcPr>
            <w:tcW w:w="8184" w:type="dxa"/>
            <w:noWrap w:val="0"/>
            <w:tcMar>
              <w:top w:w="15" w:type="dxa"/>
              <w:left w:w="15" w:type="dxa"/>
              <w:right w:w="15" w:type="dxa"/>
            </w:tcMar>
            <w:vAlign w:val="center"/>
          </w:tcPr>
          <w:p w14:paraId="1F8ABD5D">
            <w:pPr>
              <w:keepNext w:val="0"/>
              <w:keepLines w:val="0"/>
              <w:pageBreakBefore w:val="0"/>
              <w:widowControl w:val="0"/>
              <w:kinsoku/>
              <w:wordWrap/>
              <w:overflowPunct/>
              <w:topLinePunct w:val="0"/>
              <w:autoSpaceDE/>
              <w:autoSpaceDN/>
              <w:bidi w:val="0"/>
              <w:adjustRightInd/>
              <w:snapToGrid/>
              <w:spacing w:line="460" w:lineRule="exact"/>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color w:val="auto"/>
                <w:kern w:val="0"/>
                <w:sz w:val="24"/>
                <w:szCs w:val="24"/>
                <w:highlight w:val="none"/>
                <w:shd w:val="clear" w:color="auto" w:fill="FFFFFF"/>
                <w:lang w:val="en-US" w:eastAsia="zh-CN" w:bidi="ar-SA"/>
              </w:rPr>
              <w:t>供应商被“信用中国”网站列入失信被执行人和重大税收违法案件当事人名单的、被“中国政府采购网”网站列入政府采购严重违法失信行为记录名单（处罚期限尚未届满的），不得参加本项目的采购活动</w:t>
            </w:r>
            <w:r>
              <w:rPr>
                <w:rFonts w:hint="eastAsia" w:ascii="宋体" w:hAnsi="宋体" w:eastAsia="宋体" w:cs="宋体"/>
                <w:color w:val="auto"/>
                <w:kern w:val="0"/>
                <w:sz w:val="24"/>
                <w:szCs w:val="24"/>
                <w:lang w:val="en-US" w:eastAsia="zh-CN" w:bidi="ar-SA"/>
              </w:rPr>
              <w:t>；</w:t>
            </w:r>
            <w:r>
              <w:rPr>
                <w:rFonts w:hint="eastAsia" w:ascii="宋体" w:hAnsi="宋体" w:eastAsia="宋体" w:cs="宋体"/>
                <w:b/>
                <w:bCs/>
                <w:color w:val="auto"/>
                <w:kern w:val="0"/>
                <w:sz w:val="24"/>
                <w:szCs w:val="24"/>
                <w:lang w:val="en-US" w:eastAsia="zh-CN" w:bidi="ar"/>
              </w:rPr>
              <w:t>【采购人或者采购代理机构在资格审查结束前，对供应商进行信用查询。供应商无需提供信用查询截图，以采购人或采购代理机构查询结果为准，具体详见《供应商须知前附表》】</w:t>
            </w:r>
          </w:p>
        </w:tc>
      </w:tr>
      <w:tr w14:paraId="047E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960" w:type="dxa"/>
            <w:gridSpan w:val="2"/>
            <w:noWrap w:val="0"/>
            <w:tcMar>
              <w:top w:w="15" w:type="dxa"/>
              <w:left w:w="15" w:type="dxa"/>
              <w:right w:w="15" w:type="dxa"/>
            </w:tcMar>
            <w:vAlign w:val="center"/>
          </w:tcPr>
          <w:p w14:paraId="7E37E0C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auto"/>
                <w:kern w:val="0"/>
                <w:sz w:val="24"/>
                <w:szCs w:val="24"/>
                <w:lang w:bidi="ar"/>
              </w:rPr>
            </w:pPr>
            <w:r>
              <w:rPr>
                <w:rFonts w:hint="eastAsia" w:ascii="宋体" w:hAnsi="宋体" w:eastAsia="宋体" w:cs="宋体"/>
                <w:b/>
                <w:bCs/>
                <w:color w:val="000000"/>
                <w:kern w:val="0"/>
                <w:sz w:val="24"/>
                <w:szCs w:val="24"/>
                <w:lang w:bidi="ar"/>
              </w:rPr>
              <w:t>（二）符合性审查</w:t>
            </w:r>
          </w:p>
        </w:tc>
      </w:tr>
      <w:tr w14:paraId="3102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6" w:type="dxa"/>
            <w:noWrap w:val="0"/>
            <w:tcMar>
              <w:top w:w="15" w:type="dxa"/>
              <w:left w:w="15" w:type="dxa"/>
              <w:right w:w="15" w:type="dxa"/>
            </w:tcMar>
            <w:vAlign w:val="center"/>
          </w:tcPr>
          <w:p w14:paraId="071D6DD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Cs/>
                <w:i w:val="0"/>
                <w:iCs w:val="0"/>
                <w:color w:val="auto"/>
                <w:sz w:val="24"/>
                <w:szCs w:val="24"/>
                <w:lang w:eastAsia="zh-CN"/>
              </w:rPr>
            </w:pPr>
            <w:r>
              <w:rPr>
                <w:rFonts w:hint="eastAsia" w:ascii="宋体" w:hAnsi="宋体" w:eastAsia="宋体" w:cs="宋体"/>
                <w:bCs/>
                <w:i w:val="0"/>
                <w:iCs w:val="0"/>
                <w:color w:val="auto"/>
                <w:sz w:val="24"/>
                <w:szCs w:val="24"/>
                <w:lang w:val="en-US" w:eastAsia="zh-CN"/>
              </w:rPr>
              <w:t>1</w:t>
            </w:r>
          </w:p>
        </w:tc>
        <w:tc>
          <w:tcPr>
            <w:tcW w:w="8184" w:type="dxa"/>
            <w:noWrap w:val="0"/>
            <w:tcMar>
              <w:top w:w="15" w:type="dxa"/>
              <w:left w:w="15" w:type="dxa"/>
              <w:right w:w="15" w:type="dxa"/>
            </w:tcMar>
            <w:vAlign w:val="center"/>
          </w:tcPr>
          <w:p w14:paraId="0F69E2D8">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供应商必须按照磋商文件要求提交磋商保证金，并在响应文件中提供提交磋商保证金的证明材料；</w:t>
            </w:r>
          </w:p>
        </w:tc>
      </w:tr>
      <w:tr w14:paraId="6F48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6" w:type="dxa"/>
            <w:noWrap w:val="0"/>
            <w:tcMar>
              <w:top w:w="15" w:type="dxa"/>
              <w:left w:w="15" w:type="dxa"/>
              <w:right w:w="15" w:type="dxa"/>
            </w:tcMar>
            <w:vAlign w:val="center"/>
          </w:tcPr>
          <w:p w14:paraId="243BA6D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Cs/>
                <w:i/>
                <w:iCs/>
                <w:color w:val="FF0000"/>
                <w:sz w:val="24"/>
                <w:szCs w:val="24"/>
                <w:lang w:val="en-US" w:eastAsia="zh-CN"/>
              </w:rPr>
            </w:pPr>
            <w:r>
              <w:rPr>
                <w:rFonts w:hint="eastAsia" w:ascii="宋体" w:hAnsi="宋体" w:eastAsia="宋体" w:cs="宋体"/>
                <w:bCs/>
                <w:color w:val="000000"/>
                <w:sz w:val="24"/>
                <w:szCs w:val="24"/>
                <w:lang w:val="en-US" w:eastAsia="zh-CN"/>
              </w:rPr>
              <w:t>2</w:t>
            </w:r>
          </w:p>
        </w:tc>
        <w:tc>
          <w:tcPr>
            <w:tcW w:w="8184" w:type="dxa"/>
            <w:noWrap w:val="0"/>
            <w:tcMar>
              <w:top w:w="15" w:type="dxa"/>
              <w:left w:w="15" w:type="dxa"/>
              <w:right w:w="15" w:type="dxa"/>
            </w:tcMar>
            <w:vAlign w:val="center"/>
          </w:tcPr>
          <w:p w14:paraId="43C71A74">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非法定代表人本人参与磋商，须提供有效的法定代表人授权书；</w:t>
            </w:r>
          </w:p>
        </w:tc>
      </w:tr>
      <w:tr w14:paraId="0395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6" w:type="dxa"/>
            <w:noWrap w:val="0"/>
            <w:tcMar>
              <w:top w:w="15" w:type="dxa"/>
              <w:left w:w="15" w:type="dxa"/>
              <w:right w:w="15" w:type="dxa"/>
            </w:tcMar>
            <w:vAlign w:val="center"/>
          </w:tcPr>
          <w:p w14:paraId="1EAF92F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Cs/>
                <w:i/>
                <w:iCs/>
                <w:color w:val="FF0000"/>
                <w:sz w:val="24"/>
                <w:szCs w:val="24"/>
                <w:lang w:val="en-US" w:eastAsia="zh-CN"/>
              </w:rPr>
            </w:pPr>
            <w:r>
              <w:rPr>
                <w:rFonts w:hint="eastAsia" w:ascii="宋体" w:hAnsi="宋体" w:eastAsia="宋体" w:cs="宋体"/>
                <w:bCs/>
                <w:color w:val="000000"/>
                <w:sz w:val="24"/>
                <w:szCs w:val="24"/>
                <w:lang w:val="en-US" w:eastAsia="zh-CN"/>
              </w:rPr>
              <w:t>3</w:t>
            </w:r>
          </w:p>
        </w:tc>
        <w:tc>
          <w:tcPr>
            <w:tcW w:w="8184" w:type="dxa"/>
            <w:noWrap w:val="0"/>
            <w:tcMar>
              <w:top w:w="15" w:type="dxa"/>
              <w:left w:w="15" w:type="dxa"/>
              <w:right w:w="15" w:type="dxa"/>
            </w:tcMar>
            <w:vAlign w:val="center"/>
          </w:tcPr>
          <w:p w14:paraId="03AB5CC6">
            <w:pPr>
              <w:keepNext w:val="0"/>
              <w:keepLines w:val="0"/>
              <w:pageBreakBefore w:val="0"/>
              <w:widowControl w:val="0"/>
              <w:kinsoku/>
              <w:wordWrap/>
              <w:overflowPunct/>
              <w:topLinePunct w:val="0"/>
              <w:autoSpaceDE/>
              <w:autoSpaceDN/>
              <w:bidi w:val="0"/>
              <w:adjustRightInd/>
              <w:snapToGrid/>
              <w:spacing w:after="0" w:line="46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供应商必须按照</w:t>
            </w:r>
            <w:r>
              <w:rPr>
                <w:rFonts w:hint="eastAsia" w:ascii="宋体" w:hAnsi="宋体" w:eastAsia="宋体" w:cs="宋体"/>
                <w:sz w:val="24"/>
                <w:szCs w:val="24"/>
                <w:lang w:val="en-US" w:eastAsia="zh-CN"/>
              </w:rPr>
              <w:t>磋商</w:t>
            </w:r>
            <w:r>
              <w:rPr>
                <w:rFonts w:hint="eastAsia" w:ascii="宋体" w:hAnsi="宋体" w:eastAsia="宋体" w:cs="宋体"/>
                <w:kern w:val="2"/>
                <w:sz w:val="24"/>
                <w:szCs w:val="24"/>
                <w:lang w:val="en-US" w:eastAsia="zh-CN" w:bidi="ar-SA"/>
              </w:rPr>
              <w:t>文件要求提供报价一览表；</w:t>
            </w:r>
          </w:p>
        </w:tc>
      </w:tr>
      <w:tr w14:paraId="63AC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6" w:type="dxa"/>
            <w:noWrap w:val="0"/>
            <w:tcMar>
              <w:top w:w="15" w:type="dxa"/>
              <w:left w:w="15" w:type="dxa"/>
              <w:right w:w="15" w:type="dxa"/>
            </w:tcMar>
            <w:vAlign w:val="center"/>
          </w:tcPr>
          <w:p w14:paraId="06DF1C5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Cs/>
                <w:i/>
                <w:iCs/>
                <w:color w:val="FF0000"/>
                <w:sz w:val="24"/>
                <w:szCs w:val="24"/>
                <w:lang w:val="en-US" w:eastAsia="zh-CN"/>
              </w:rPr>
            </w:pPr>
            <w:r>
              <w:rPr>
                <w:rFonts w:hint="eastAsia" w:ascii="宋体" w:hAnsi="宋体" w:eastAsia="宋体" w:cs="宋体"/>
                <w:bCs/>
                <w:color w:val="000000"/>
                <w:sz w:val="24"/>
                <w:szCs w:val="24"/>
                <w:lang w:val="en-US" w:eastAsia="zh-CN"/>
              </w:rPr>
              <w:t>4</w:t>
            </w:r>
          </w:p>
        </w:tc>
        <w:tc>
          <w:tcPr>
            <w:tcW w:w="8184" w:type="dxa"/>
            <w:noWrap w:val="0"/>
            <w:tcMar>
              <w:top w:w="15" w:type="dxa"/>
              <w:left w:w="15" w:type="dxa"/>
              <w:right w:w="15" w:type="dxa"/>
            </w:tcMar>
            <w:vAlign w:val="center"/>
          </w:tcPr>
          <w:p w14:paraId="3CA99E7E">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sz w:val="24"/>
                <w:szCs w:val="24"/>
              </w:rPr>
            </w:pPr>
            <w:r>
              <w:rPr>
                <w:rFonts w:hint="eastAsia" w:ascii="宋体" w:hAnsi="宋体" w:eastAsia="宋体" w:cs="宋体"/>
                <w:sz w:val="24"/>
                <w:szCs w:val="24"/>
              </w:rPr>
              <w:t>无法律、法规和</w:t>
            </w:r>
            <w:r>
              <w:rPr>
                <w:rFonts w:hint="eastAsia" w:ascii="宋体" w:hAnsi="宋体" w:eastAsia="宋体" w:cs="宋体"/>
                <w:sz w:val="24"/>
                <w:szCs w:val="24"/>
                <w:lang w:val="en-US" w:eastAsia="zh-CN"/>
              </w:rPr>
              <w:t>磋商</w:t>
            </w:r>
            <w:r>
              <w:rPr>
                <w:rFonts w:hint="eastAsia" w:ascii="宋体" w:hAnsi="宋体" w:eastAsia="宋体" w:cs="宋体"/>
                <w:sz w:val="24"/>
                <w:szCs w:val="24"/>
              </w:rPr>
              <w:t>文件规定的其他无效情形。</w:t>
            </w:r>
          </w:p>
        </w:tc>
      </w:tr>
      <w:tr w14:paraId="5C1D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960" w:type="dxa"/>
            <w:gridSpan w:val="2"/>
            <w:noWrap w:val="0"/>
            <w:tcMar>
              <w:top w:w="15" w:type="dxa"/>
              <w:left w:w="15" w:type="dxa"/>
              <w:right w:w="15" w:type="dxa"/>
            </w:tcMar>
            <w:vAlign w:val="center"/>
          </w:tcPr>
          <w:p w14:paraId="0F55ED1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kern w:val="0"/>
                <w:sz w:val="24"/>
                <w:szCs w:val="24"/>
                <w:highlight w:val="yellow"/>
                <w:lang w:bidi="ar"/>
              </w:rPr>
            </w:pPr>
            <w:r>
              <w:rPr>
                <w:rFonts w:hint="eastAsia" w:ascii="宋体" w:hAnsi="宋体" w:eastAsia="宋体" w:cs="宋体"/>
                <w:b/>
                <w:color w:val="000000"/>
                <w:kern w:val="0"/>
                <w:sz w:val="24"/>
                <w:szCs w:val="24"/>
                <w:lang w:bidi="ar"/>
              </w:rPr>
              <w:t>说明：以上任何一项不符合视为审查不合格，作无效</w:t>
            </w:r>
            <w:r>
              <w:rPr>
                <w:rFonts w:hint="eastAsia" w:ascii="宋体" w:hAnsi="宋体" w:eastAsia="宋体" w:cs="宋体"/>
                <w:b/>
                <w:color w:val="000000"/>
                <w:kern w:val="0"/>
                <w:sz w:val="24"/>
                <w:szCs w:val="24"/>
                <w:lang w:val="en-US" w:eastAsia="zh-CN" w:bidi="ar"/>
              </w:rPr>
              <w:t>响应</w:t>
            </w:r>
            <w:r>
              <w:rPr>
                <w:rFonts w:hint="eastAsia" w:ascii="宋体" w:hAnsi="宋体" w:eastAsia="宋体" w:cs="宋体"/>
                <w:b/>
                <w:color w:val="000000"/>
                <w:kern w:val="0"/>
                <w:sz w:val="24"/>
                <w:szCs w:val="24"/>
                <w:lang w:bidi="ar"/>
              </w:rPr>
              <w:t>处理</w:t>
            </w:r>
            <w:r>
              <w:rPr>
                <w:rFonts w:hint="eastAsia" w:ascii="宋体" w:hAnsi="宋体" w:eastAsia="宋体" w:cs="宋体"/>
                <w:color w:val="000000"/>
                <w:sz w:val="24"/>
                <w:szCs w:val="24"/>
                <w:lang w:bidi="ar"/>
              </w:rPr>
              <w:t>。</w:t>
            </w:r>
          </w:p>
        </w:tc>
      </w:tr>
      <w:bookmarkEnd w:id="14"/>
    </w:tbl>
    <w:p w14:paraId="13A30B5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478" w:firstLineChars="200"/>
        <w:jc w:val="left"/>
        <w:textAlignment w:val="center"/>
        <w:rPr>
          <w:rFonts w:hint="eastAsia" w:ascii="宋体" w:hAnsi="宋体" w:cs="宋体"/>
          <w:b/>
          <w:bCs/>
          <w:sz w:val="24"/>
          <w:szCs w:val="24"/>
          <w:highlight w:val="none"/>
        </w:rPr>
      </w:pPr>
      <w:r>
        <w:rPr>
          <w:rFonts w:hint="eastAsia" w:ascii="宋体" w:hAnsi="宋体" w:cs="宋体"/>
          <w:b/>
          <w:bCs/>
          <w:kern w:val="2"/>
          <w:sz w:val="24"/>
          <w:szCs w:val="24"/>
          <w:lang w:val="en-US" w:eastAsia="zh-CN" w:bidi="ar-SA"/>
        </w:rPr>
        <w:t>（三）拟定</w:t>
      </w:r>
      <w:r>
        <w:rPr>
          <w:rFonts w:hint="eastAsia" w:ascii="宋体" w:hAnsi="宋体" w:cs="宋体"/>
          <w:b/>
          <w:bCs/>
          <w:sz w:val="24"/>
          <w:szCs w:val="24"/>
          <w:highlight w:val="none"/>
        </w:rPr>
        <w:t>评审标准</w:t>
      </w:r>
    </w:p>
    <w:p w14:paraId="45F91451">
      <w:pPr>
        <w:widowControl/>
        <w:numPr>
          <w:ilvl w:val="0"/>
          <w:numId w:val="0"/>
        </w:numPr>
        <w:spacing w:line="560" w:lineRule="exact"/>
        <w:ind w:firstLine="476" w:firstLineChars="200"/>
        <w:jc w:val="left"/>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highlight w:val="none"/>
        </w:rPr>
        <w:t>本项目</w:t>
      </w:r>
      <w:r>
        <w:rPr>
          <w:rFonts w:hint="eastAsia" w:ascii="宋体" w:hAnsi="宋体"/>
          <w:bCs/>
          <w:color w:val="000000"/>
          <w:sz w:val="24"/>
          <w:szCs w:val="24"/>
          <w:highlight w:val="none"/>
        </w:rPr>
        <w:t>经磋商确定最终采购需求和提交最后报价的供应商后，由磋商小组采用综合评分法对提交最后报价的供应商的响应文件和最后报价进行综合评分。总</w:t>
      </w:r>
      <w:r>
        <w:rPr>
          <w:rFonts w:hint="eastAsia" w:ascii="宋体" w:hAnsi="宋体"/>
          <w:bCs/>
          <w:color w:val="auto"/>
          <w:sz w:val="24"/>
          <w:szCs w:val="24"/>
          <w:highlight w:val="none"/>
        </w:rPr>
        <w:t>分</w:t>
      </w:r>
      <w:r>
        <w:rPr>
          <w:rFonts w:hint="eastAsia" w:ascii="宋体" w:hAnsi="宋体"/>
          <w:bCs/>
          <w:color w:val="auto"/>
          <w:sz w:val="24"/>
          <w:szCs w:val="24"/>
          <w:highlight w:val="none"/>
          <w:lang w:val="en-US" w:eastAsia="zh-CN"/>
        </w:rPr>
        <w:t>45</w:t>
      </w:r>
      <w:r>
        <w:rPr>
          <w:rFonts w:hint="eastAsia" w:ascii="宋体" w:hAnsi="宋体"/>
          <w:bCs/>
          <w:color w:val="auto"/>
          <w:sz w:val="24"/>
          <w:szCs w:val="24"/>
          <w:highlight w:val="none"/>
        </w:rPr>
        <w:t>分</w:t>
      </w:r>
      <w:r>
        <w:rPr>
          <w:rFonts w:hint="eastAsia" w:ascii="宋体" w:hAnsi="宋体"/>
          <w:bCs/>
          <w:color w:val="000000"/>
          <w:sz w:val="24"/>
          <w:szCs w:val="24"/>
          <w:highlight w:val="none"/>
        </w:rPr>
        <w:t>。</w:t>
      </w:r>
    </w:p>
    <w:tbl>
      <w:tblPr>
        <w:tblStyle w:val="25"/>
        <w:tblW w:w="49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7355"/>
        <w:gridCol w:w="952"/>
      </w:tblGrid>
      <w:tr w14:paraId="5769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58" w:type="dxa"/>
            <w:gridSpan w:val="3"/>
            <w:tcBorders>
              <w:top w:val="single" w:color="auto" w:sz="4" w:space="0"/>
              <w:left w:val="single" w:color="auto" w:sz="4" w:space="0"/>
              <w:bottom w:val="single" w:color="auto" w:sz="4" w:space="0"/>
              <w:right w:val="single" w:color="auto" w:sz="4" w:space="0"/>
            </w:tcBorders>
            <w:noWrap w:val="0"/>
            <w:vAlign w:val="center"/>
          </w:tcPr>
          <w:p w14:paraId="02AFB7FE">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b/>
                <w:i w:val="0"/>
                <w:iCs w:val="0"/>
                <w:snapToGrid/>
                <w:color w:val="auto"/>
                <w:kern w:val="0"/>
                <w:sz w:val="24"/>
                <w:szCs w:val="24"/>
                <w:highlight w:val="none"/>
                <w:lang w:eastAsia="zh-CN"/>
              </w:rPr>
            </w:pPr>
            <w:r>
              <w:rPr>
                <w:rFonts w:hint="eastAsia" w:ascii="宋体" w:hAnsi="宋体" w:eastAsia="宋体" w:cs="宋体"/>
                <w:b/>
                <w:i w:val="0"/>
                <w:iCs w:val="0"/>
                <w:snapToGrid/>
                <w:color w:val="auto"/>
                <w:kern w:val="0"/>
                <w:sz w:val="24"/>
                <w:szCs w:val="24"/>
                <w:highlight w:val="none"/>
                <w:lang w:eastAsia="zh-CN"/>
              </w:rPr>
              <w:t>（一）价格部分（</w:t>
            </w:r>
            <w:r>
              <w:rPr>
                <w:rFonts w:hint="eastAsia" w:ascii="宋体" w:hAnsi="宋体" w:eastAsia="宋体" w:cs="宋体"/>
                <w:b/>
                <w:i w:val="0"/>
                <w:iCs w:val="0"/>
                <w:snapToGrid/>
                <w:color w:val="auto"/>
                <w:kern w:val="2"/>
                <w:sz w:val="24"/>
                <w:szCs w:val="24"/>
                <w:highlight w:val="none"/>
                <w:lang w:val="en-US" w:eastAsia="zh-CN"/>
              </w:rPr>
              <w:t>10</w:t>
            </w:r>
            <w:r>
              <w:rPr>
                <w:rFonts w:hint="eastAsia" w:ascii="宋体" w:hAnsi="宋体" w:eastAsia="宋体" w:cs="宋体"/>
                <w:b/>
                <w:i w:val="0"/>
                <w:iCs w:val="0"/>
                <w:snapToGrid/>
                <w:color w:val="auto"/>
                <w:kern w:val="2"/>
                <w:sz w:val="24"/>
                <w:szCs w:val="24"/>
                <w:highlight w:val="none"/>
                <w:lang w:eastAsia="zh-CN"/>
              </w:rPr>
              <w:t>分</w:t>
            </w:r>
            <w:r>
              <w:rPr>
                <w:rFonts w:hint="eastAsia" w:ascii="宋体" w:hAnsi="宋体" w:eastAsia="宋体" w:cs="宋体"/>
                <w:b/>
                <w:i w:val="0"/>
                <w:iCs w:val="0"/>
                <w:snapToGrid/>
                <w:color w:val="auto"/>
                <w:kern w:val="0"/>
                <w:sz w:val="24"/>
                <w:szCs w:val="24"/>
                <w:highlight w:val="none"/>
                <w:lang w:eastAsia="zh-CN"/>
              </w:rPr>
              <w:t>）</w:t>
            </w:r>
          </w:p>
        </w:tc>
      </w:tr>
      <w:tr w14:paraId="684E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21" w:type="dxa"/>
            <w:tcBorders>
              <w:top w:val="single" w:color="auto" w:sz="4" w:space="0"/>
              <w:left w:val="single" w:color="auto" w:sz="4" w:space="0"/>
              <w:bottom w:val="single" w:color="auto" w:sz="4" w:space="0"/>
              <w:right w:val="single" w:color="auto" w:sz="4" w:space="0"/>
            </w:tcBorders>
            <w:noWrap w:val="0"/>
            <w:vAlign w:val="center"/>
          </w:tcPr>
          <w:p w14:paraId="4168C64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bCs/>
                <w:i w:val="0"/>
                <w:iCs w:val="0"/>
                <w:snapToGrid/>
                <w:color w:val="auto"/>
                <w:kern w:val="0"/>
                <w:sz w:val="24"/>
                <w:szCs w:val="24"/>
                <w:lang w:eastAsia="zh-CN"/>
              </w:rPr>
            </w:pPr>
            <w:r>
              <w:rPr>
                <w:rFonts w:hint="eastAsia" w:ascii="宋体" w:hAnsi="宋体" w:eastAsia="宋体" w:cs="宋体"/>
                <w:b/>
                <w:i w:val="0"/>
                <w:iCs w:val="0"/>
                <w:snapToGrid/>
                <w:color w:val="auto"/>
                <w:kern w:val="0"/>
                <w:sz w:val="24"/>
                <w:szCs w:val="24"/>
                <w:lang w:eastAsia="zh-CN"/>
              </w:rPr>
              <w:t>评分点</w:t>
            </w:r>
          </w:p>
        </w:tc>
        <w:tc>
          <w:tcPr>
            <w:tcW w:w="7116" w:type="dxa"/>
            <w:tcBorders>
              <w:top w:val="single" w:color="auto" w:sz="4" w:space="0"/>
              <w:left w:val="single" w:color="auto" w:sz="4" w:space="0"/>
              <w:bottom w:val="single" w:color="auto" w:sz="4" w:space="0"/>
              <w:right w:val="single" w:color="auto" w:sz="4" w:space="0"/>
            </w:tcBorders>
            <w:noWrap w:val="0"/>
            <w:vAlign w:val="center"/>
          </w:tcPr>
          <w:p w14:paraId="3F2F8B57">
            <w:pPr>
              <w:keepNext w:val="0"/>
              <w:keepLines w:val="0"/>
              <w:pageBreakBefore w:val="0"/>
              <w:widowControl w:val="0"/>
              <w:kinsoku/>
              <w:wordWrap/>
              <w:overflowPunct/>
              <w:topLinePunct w:val="0"/>
              <w:autoSpaceDE/>
              <w:autoSpaceDN/>
              <w:bidi w:val="0"/>
              <w:adjustRightInd/>
              <w:snapToGrid/>
              <w:spacing w:line="440" w:lineRule="exact"/>
              <w:ind w:right="0" w:firstLine="358" w:firstLineChars="150"/>
              <w:jc w:val="center"/>
              <w:textAlignment w:val="auto"/>
              <w:rPr>
                <w:rFonts w:hint="eastAsia" w:ascii="宋体" w:hAnsi="宋体" w:eastAsia="宋体" w:cs="宋体"/>
                <w:b/>
                <w:bCs/>
                <w:i w:val="0"/>
                <w:iCs w:val="0"/>
                <w:snapToGrid/>
                <w:color w:val="auto"/>
                <w:kern w:val="2"/>
                <w:sz w:val="24"/>
                <w:szCs w:val="24"/>
                <w:lang w:eastAsia="zh-CN"/>
              </w:rPr>
            </w:pPr>
            <w:r>
              <w:rPr>
                <w:rFonts w:hint="eastAsia" w:ascii="宋体" w:hAnsi="宋体" w:eastAsia="宋体" w:cs="宋体"/>
                <w:b/>
                <w:i w:val="0"/>
                <w:iCs w:val="0"/>
                <w:snapToGrid/>
                <w:color w:val="auto"/>
                <w:kern w:val="0"/>
                <w:sz w:val="24"/>
                <w:szCs w:val="24"/>
                <w:lang w:eastAsia="zh-CN"/>
              </w:rPr>
              <w:t>评审内容</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1E58502E">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bCs/>
                <w:i w:val="0"/>
                <w:iCs w:val="0"/>
                <w:snapToGrid/>
                <w:color w:val="auto"/>
                <w:kern w:val="0"/>
                <w:sz w:val="24"/>
                <w:szCs w:val="24"/>
                <w:lang w:eastAsia="zh-CN"/>
              </w:rPr>
            </w:pPr>
            <w:r>
              <w:rPr>
                <w:rFonts w:hint="eastAsia" w:ascii="宋体" w:hAnsi="宋体" w:eastAsia="宋体" w:cs="宋体"/>
                <w:b/>
                <w:i w:val="0"/>
                <w:iCs w:val="0"/>
                <w:snapToGrid/>
                <w:color w:val="auto"/>
                <w:kern w:val="0"/>
                <w:sz w:val="24"/>
                <w:szCs w:val="24"/>
                <w:lang w:eastAsia="zh-CN"/>
              </w:rPr>
              <w:t>分值</w:t>
            </w:r>
          </w:p>
        </w:tc>
      </w:tr>
      <w:tr w14:paraId="112A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21" w:type="dxa"/>
            <w:tcBorders>
              <w:top w:val="single" w:color="auto" w:sz="4" w:space="0"/>
              <w:left w:val="single" w:color="auto" w:sz="4" w:space="0"/>
              <w:bottom w:val="single" w:color="auto" w:sz="4" w:space="0"/>
              <w:right w:val="single" w:color="auto" w:sz="4" w:space="0"/>
            </w:tcBorders>
            <w:noWrap w:val="0"/>
            <w:vAlign w:val="center"/>
          </w:tcPr>
          <w:p w14:paraId="60A8E6D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bCs/>
                <w:i w:val="0"/>
                <w:iCs w:val="0"/>
                <w:snapToGrid/>
                <w:color w:val="auto"/>
                <w:kern w:val="0"/>
                <w:sz w:val="24"/>
                <w:szCs w:val="24"/>
                <w:highlight w:val="none"/>
                <w:lang w:eastAsia="zh-CN"/>
              </w:rPr>
            </w:pPr>
            <w:r>
              <w:rPr>
                <w:rFonts w:hint="eastAsia" w:ascii="宋体" w:hAnsi="宋体" w:eastAsia="宋体" w:cs="宋体"/>
                <w:bCs/>
                <w:i w:val="0"/>
                <w:iCs w:val="0"/>
                <w:snapToGrid/>
                <w:color w:val="auto"/>
                <w:kern w:val="0"/>
                <w:sz w:val="24"/>
                <w:szCs w:val="24"/>
                <w:highlight w:val="none"/>
                <w:lang w:eastAsia="zh-CN"/>
              </w:rPr>
              <w:t>报价</w:t>
            </w:r>
          </w:p>
        </w:tc>
        <w:tc>
          <w:tcPr>
            <w:tcW w:w="7116" w:type="dxa"/>
            <w:tcBorders>
              <w:top w:val="single" w:color="auto" w:sz="4" w:space="0"/>
              <w:left w:val="single" w:color="auto" w:sz="4" w:space="0"/>
              <w:bottom w:val="single" w:color="auto" w:sz="4" w:space="0"/>
              <w:right w:val="single" w:color="auto" w:sz="4" w:space="0"/>
            </w:tcBorders>
            <w:noWrap w:val="0"/>
            <w:vAlign w:val="center"/>
          </w:tcPr>
          <w:p w14:paraId="7DB3B912">
            <w:pPr>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bCs/>
                <w:i w:val="0"/>
                <w:iCs w:val="0"/>
                <w:snapToGrid/>
                <w:color w:val="auto"/>
                <w:kern w:val="0"/>
                <w:sz w:val="24"/>
                <w:szCs w:val="24"/>
                <w:highlight w:val="none"/>
                <w:lang w:eastAsia="zh-CN"/>
              </w:rPr>
            </w:pPr>
            <w:r>
              <w:rPr>
                <w:rFonts w:hint="eastAsia" w:ascii="宋体" w:hAnsi="宋体" w:eastAsia="宋体" w:cs="宋体"/>
                <w:bCs/>
                <w:i w:val="0"/>
                <w:iCs w:val="0"/>
                <w:snapToGrid/>
                <w:color w:val="auto"/>
                <w:kern w:val="0"/>
                <w:sz w:val="24"/>
                <w:szCs w:val="24"/>
                <w:highlight w:val="none"/>
                <w:lang w:eastAsia="zh-CN"/>
              </w:rPr>
              <w:t>价格分采用低价优先法计算，即满足磋商文件要求且最后磋商报价最低的磋商报价为磋商基准价，其价格分为满分。</w:t>
            </w:r>
          </w:p>
          <w:p w14:paraId="180F303C">
            <w:pPr>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bCs/>
                <w:i w:val="0"/>
                <w:iCs w:val="0"/>
                <w:snapToGrid/>
                <w:color w:val="auto"/>
                <w:kern w:val="0"/>
                <w:sz w:val="24"/>
                <w:szCs w:val="24"/>
                <w:highlight w:val="none"/>
                <w:lang w:eastAsia="zh-CN"/>
              </w:rPr>
            </w:pPr>
            <w:r>
              <w:rPr>
                <w:rFonts w:hint="eastAsia" w:ascii="宋体" w:hAnsi="宋体" w:eastAsia="宋体" w:cs="宋体"/>
                <w:bCs/>
                <w:i w:val="0"/>
                <w:iCs w:val="0"/>
                <w:snapToGrid/>
                <w:color w:val="auto"/>
                <w:kern w:val="0"/>
                <w:sz w:val="24"/>
                <w:szCs w:val="24"/>
                <w:highlight w:val="none"/>
                <w:lang w:eastAsia="zh-CN"/>
              </w:rPr>
              <w:t>其他供应商的价格分统一按下列公式计算：</w:t>
            </w:r>
          </w:p>
          <w:p w14:paraId="61EEE1B7">
            <w:pPr>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bCs/>
                <w:i w:val="0"/>
                <w:iCs w:val="0"/>
                <w:snapToGrid/>
                <w:color w:val="auto"/>
                <w:kern w:val="0"/>
                <w:sz w:val="24"/>
                <w:szCs w:val="24"/>
                <w:highlight w:val="none"/>
                <w:lang w:eastAsia="zh-CN"/>
              </w:rPr>
            </w:pPr>
            <w:r>
              <w:rPr>
                <w:rFonts w:hint="eastAsia" w:ascii="宋体" w:hAnsi="宋体" w:eastAsia="宋体" w:cs="宋体"/>
                <w:bCs/>
                <w:i w:val="0"/>
                <w:iCs w:val="0"/>
                <w:snapToGrid/>
                <w:color w:val="auto"/>
                <w:kern w:val="0"/>
                <w:sz w:val="24"/>
                <w:szCs w:val="24"/>
                <w:highlight w:val="none"/>
                <w:lang w:eastAsia="zh-CN"/>
              </w:rPr>
              <w:t>报价得分=（磋商基准价/最后磋商报价）×</w:t>
            </w:r>
            <w:r>
              <w:rPr>
                <w:rFonts w:hint="eastAsia" w:ascii="宋体" w:hAnsi="宋体" w:eastAsia="宋体" w:cs="宋体"/>
                <w:bCs/>
                <w:i w:val="0"/>
                <w:iCs w:val="0"/>
                <w:snapToGrid/>
                <w:color w:val="auto"/>
                <w:kern w:val="0"/>
                <w:sz w:val="24"/>
                <w:szCs w:val="24"/>
                <w:highlight w:val="none"/>
                <w:lang w:val="en-US" w:eastAsia="zh-CN"/>
              </w:rPr>
              <w:t>10</w:t>
            </w:r>
            <w:r>
              <w:rPr>
                <w:rFonts w:hint="eastAsia" w:ascii="宋体" w:hAnsi="宋体" w:eastAsia="宋体" w:cs="宋体"/>
                <w:bCs/>
                <w:i w:val="0"/>
                <w:iCs w:val="0"/>
                <w:snapToGrid/>
                <w:color w:val="auto"/>
                <w:kern w:val="0"/>
                <w:sz w:val="24"/>
                <w:szCs w:val="24"/>
                <w:highlight w:val="none"/>
                <w:lang w:eastAsia="zh-CN"/>
              </w:rPr>
              <w:t>；计算结果保留至小数点后两位。</w:t>
            </w:r>
          </w:p>
          <w:p w14:paraId="5CEA9A6A">
            <w:pPr>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bCs/>
                <w:i w:val="0"/>
                <w:iCs w:val="0"/>
                <w:snapToGrid/>
                <w:color w:val="auto"/>
                <w:kern w:val="0"/>
                <w:sz w:val="24"/>
                <w:szCs w:val="24"/>
                <w:highlight w:val="none"/>
                <w:lang w:eastAsia="zh-CN"/>
              </w:rPr>
            </w:pP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sz w:val="24"/>
                <w:szCs w:val="24"/>
                <w:highlight w:val="none"/>
              </w:rPr>
              <w:t>磋商小组</w:t>
            </w:r>
            <w:r>
              <w:rPr>
                <w:rFonts w:hint="eastAsia" w:ascii="宋体" w:hAnsi="宋体" w:eastAsia="宋体" w:cs="宋体"/>
                <w:b/>
                <w:bCs/>
                <w:sz w:val="24"/>
                <w:szCs w:val="24"/>
                <w:lang w:val="en-US" w:eastAsia="zh-CN"/>
              </w:rPr>
              <w:t>认为供应商的报价明显低于其他通过符合性审查供应商的报价，有可能影响产品质量或者不能诚信履约的，应当要求其在评审现场合理的时间内提供书面说明，必要时提交相关证明材料；供应商不能证明其报价合理性的，</w:t>
            </w:r>
            <w:r>
              <w:rPr>
                <w:rFonts w:hint="eastAsia" w:ascii="宋体" w:hAnsi="宋体" w:eastAsia="宋体" w:cs="宋体"/>
                <w:b/>
                <w:bCs/>
                <w:color w:val="auto"/>
                <w:sz w:val="24"/>
                <w:szCs w:val="24"/>
                <w:highlight w:val="none"/>
              </w:rPr>
              <w:t>磋商小组</w:t>
            </w:r>
            <w:r>
              <w:rPr>
                <w:rFonts w:hint="eastAsia" w:ascii="宋体" w:hAnsi="宋体" w:eastAsia="宋体" w:cs="宋体"/>
                <w:b/>
                <w:bCs/>
                <w:sz w:val="24"/>
                <w:szCs w:val="24"/>
                <w:lang w:val="en-US" w:eastAsia="zh-CN"/>
              </w:rPr>
              <w:t>应当将其作为无效响应处理。</w:t>
            </w:r>
          </w:p>
          <w:p w14:paraId="6D5B792F">
            <w:pPr>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bCs/>
                <w:i w:val="0"/>
                <w:iCs w:val="0"/>
                <w:snapToGrid/>
                <w:color w:val="auto"/>
                <w:kern w:val="0"/>
                <w:sz w:val="24"/>
                <w:szCs w:val="24"/>
                <w:highlight w:val="none"/>
                <w:lang w:eastAsia="zh-CN"/>
              </w:rPr>
            </w:pPr>
            <w:r>
              <w:rPr>
                <w:rFonts w:hint="eastAsia" w:ascii="宋体" w:hAnsi="宋体" w:eastAsia="宋体" w:cs="宋体"/>
                <w:b/>
                <w:i w:val="0"/>
                <w:iCs w:val="0"/>
                <w:snapToGrid/>
                <w:color w:val="auto"/>
                <w:kern w:val="0"/>
                <w:sz w:val="24"/>
                <w:szCs w:val="24"/>
                <w:highlight w:val="none"/>
                <w:lang w:eastAsia="zh-CN" w:bidi="ar"/>
              </w:rPr>
              <w:t>评审依据：最后报价。</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61E6A128">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bCs/>
                <w:i w:val="0"/>
                <w:iCs w:val="0"/>
                <w:snapToGrid/>
                <w:color w:val="auto"/>
                <w:kern w:val="0"/>
                <w:sz w:val="24"/>
                <w:szCs w:val="24"/>
                <w:highlight w:val="none"/>
                <w:lang w:eastAsia="zh-CN"/>
              </w:rPr>
            </w:pPr>
            <w:r>
              <w:rPr>
                <w:rFonts w:hint="eastAsia" w:ascii="宋体" w:hAnsi="宋体" w:eastAsia="宋体" w:cs="宋体"/>
                <w:bCs/>
                <w:i w:val="0"/>
                <w:iCs w:val="0"/>
                <w:snapToGrid/>
                <w:color w:val="auto"/>
                <w:kern w:val="0"/>
                <w:sz w:val="24"/>
                <w:szCs w:val="24"/>
                <w:highlight w:val="none"/>
                <w:lang w:val="en-US" w:eastAsia="zh-CN"/>
              </w:rPr>
              <w:t>10</w:t>
            </w:r>
            <w:r>
              <w:rPr>
                <w:rFonts w:hint="eastAsia" w:ascii="宋体" w:hAnsi="宋体" w:eastAsia="宋体" w:cs="宋体"/>
                <w:bCs/>
                <w:i w:val="0"/>
                <w:iCs w:val="0"/>
                <w:snapToGrid/>
                <w:color w:val="auto"/>
                <w:kern w:val="0"/>
                <w:sz w:val="24"/>
                <w:szCs w:val="24"/>
                <w:highlight w:val="none"/>
                <w:lang w:eastAsia="zh-CN"/>
              </w:rPr>
              <w:t>分</w:t>
            </w:r>
          </w:p>
        </w:tc>
      </w:tr>
      <w:tr w14:paraId="477F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58" w:type="dxa"/>
            <w:gridSpan w:val="3"/>
            <w:tcBorders>
              <w:top w:val="single" w:color="auto" w:sz="4" w:space="0"/>
              <w:left w:val="single" w:color="auto" w:sz="4" w:space="0"/>
              <w:bottom w:val="single" w:color="auto" w:sz="4" w:space="0"/>
              <w:right w:val="single" w:color="auto" w:sz="4" w:space="0"/>
            </w:tcBorders>
            <w:noWrap w:val="0"/>
            <w:vAlign w:val="center"/>
          </w:tcPr>
          <w:p w14:paraId="214E559F">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b/>
                <w:i w:val="0"/>
                <w:iCs w:val="0"/>
                <w:snapToGrid/>
                <w:color w:val="000000"/>
                <w:kern w:val="0"/>
                <w:sz w:val="24"/>
                <w:szCs w:val="24"/>
                <w:lang w:eastAsia="zh-CN"/>
              </w:rPr>
            </w:pPr>
            <w:r>
              <w:rPr>
                <w:rFonts w:hint="eastAsia" w:ascii="宋体" w:hAnsi="宋体" w:eastAsia="宋体" w:cs="宋体"/>
                <w:b/>
                <w:i w:val="0"/>
                <w:iCs w:val="0"/>
                <w:snapToGrid/>
                <w:color w:val="000000"/>
                <w:kern w:val="0"/>
                <w:sz w:val="24"/>
                <w:szCs w:val="24"/>
                <w:lang w:eastAsia="zh-CN"/>
              </w:rPr>
              <w:t>（二）技术</w:t>
            </w:r>
            <w:r>
              <w:rPr>
                <w:rFonts w:hint="eastAsia" w:ascii="宋体" w:hAnsi="宋体" w:eastAsia="宋体" w:cs="宋体"/>
                <w:b/>
                <w:i w:val="0"/>
                <w:iCs w:val="0"/>
                <w:snapToGrid/>
                <w:color w:val="auto"/>
                <w:kern w:val="0"/>
                <w:sz w:val="24"/>
                <w:szCs w:val="24"/>
                <w:lang w:eastAsia="zh-CN"/>
              </w:rPr>
              <w:t>部分（</w:t>
            </w:r>
            <w:r>
              <w:rPr>
                <w:rFonts w:hint="eastAsia" w:ascii="宋体" w:hAnsi="宋体" w:eastAsia="宋体" w:cs="宋体"/>
                <w:b/>
                <w:i w:val="0"/>
                <w:iCs w:val="0"/>
                <w:snapToGrid/>
                <w:color w:val="auto"/>
                <w:kern w:val="2"/>
                <w:sz w:val="24"/>
                <w:szCs w:val="24"/>
                <w:lang w:val="en-US" w:eastAsia="zh-CN"/>
              </w:rPr>
              <w:t>19</w:t>
            </w:r>
            <w:r>
              <w:rPr>
                <w:rFonts w:hint="eastAsia" w:ascii="宋体" w:hAnsi="宋体" w:eastAsia="宋体" w:cs="宋体"/>
                <w:b/>
                <w:i w:val="0"/>
                <w:iCs w:val="0"/>
                <w:snapToGrid/>
                <w:color w:val="auto"/>
                <w:kern w:val="2"/>
                <w:sz w:val="24"/>
                <w:szCs w:val="24"/>
                <w:lang w:eastAsia="zh-CN"/>
              </w:rPr>
              <w:t>分</w:t>
            </w:r>
            <w:r>
              <w:rPr>
                <w:rFonts w:hint="eastAsia" w:ascii="宋体" w:hAnsi="宋体" w:eastAsia="宋体" w:cs="宋体"/>
                <w:b/>
                <w:i w:val="0"/>
                <w:iCs w:val="0"/>
                <w:snapToGrid/>
                <w:color w:val="auto"/>
                <w:kern w:val="0"/>
                <w:sz w:val="24"/>
                <w:szCs w:val="24"/>
                <w:lang w:eastAsia="zh-CN"/>
              </w:rPr>
              <w:t>）</w:t>
            </w:r>
          </w:p>
        </w:tc>
      </w:tr>
      <w:tr w14:paraId="565C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21" w:type="dxa"/>
            <w:tcBorders>
              <w:top w:val="single" w:color="auto" w:sz="4" w:space="0"/>
              <w:left w:val="single" w:color="auto" w:sz="4" w:space="0"/>
              <w:bottom w:val="single" w:color="auto" w:sz="4" w:space="0"/>
              <w:right w:val="single" w:color="auto" w:sz="4" w:space="0"/>
            </w:tcBorders>
            <w:noWrap w:val="0"/>
            <w:vAlign w:val="center"/>
          </w:tcPr>
          <w:p w14:paraId="069B5B9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b/>
                <w:i w:val="0"/>
                <w:iCs w:val="0"/>
                <w:snapToGrid/>
                <w:color w:val="000000"/>
                <w:kern w:val="0"/>
                <w:sz w:val="24"/>
                <w:szCs w:val="24"/>
                <w:lang w:eastAsia="zh-CN"/>
              </w:rPr>
            </w:pPr>
            <w:r>
              <w:rPr>
                <w:rFonts w:hint="eastAsia" w:ascii="宋体" w:hAnsi="宋体" w:eastAsia="宋体" w:cs="宋体"/>
                <w:b/>
                <w:i w:val="0"/>
                <w:iCs w:val="0"/>
                <w:snapToGrid/>
                <w:color w:val="000000"/>
                <w:kern w:val="0"/>
                <w:sz w:val="24"/>
                <w:szCs w:val="24"/>
                <w:lang w:eastAsia="zh-CN"/>
              </w:rPr>
              <w:t>评分点</w:t>
            </w:r>
          </w:p>
        </w:tc>
        <w:tc>
          <w:tcPr>
            <w:tcW w:w="7116" w:type="dxa"/>
            <w:tcBorders>
              <w:top w:val="single" w:color="auto" w:sz="4" w:space="0"/>
              <w:left w:val="single" w:color="auto" w:sz="4" w:space="0"/>
              <w:bottom w:val="single" w:color="auto" w:sz="4" w:space="0"/>
              <w:right w:val="single" w:color="auto" w:sz="4" w:space="0"/>
            </w:tcBorders>
            <w:noWrap w:val="0"/>
            <w:vAlign w:val="center"/>
          </w:tcPr>
          <w:p w14:paraId="3699EA2D">
            <w:pPr>
              <w:keepNext w:val="0"/>
              <w:keepLines w:val="0"/>
              <w:pageBreakBefore w:val="0"/>
              <w:widowControl w:val="0"/>
              <w:kinsoku/>
              <w:wordWrap/>
              <w:overflowPunct/>
              <w:topLinePunct w:val="0"/>
              <w:autoSpaceDE/>
              <w:autoSpaceDN/>
              <w:bidi w:val="0"/>
              <w:adjustRightInd/>
              <w:snapToGrid/>
              <w:spacing w:line="440" w:lineRule="exact"/>
              <w:ind w:right="0" w:firstLine="358" w:firstLineChars="150"/>
              <w:jc w:val="center"/>
              <w:textAlignment w:val="auto"/>
              <w:rPr>
                <w:rFonts w:hint="eastAsia" w:ascii="宋体" w:hAnsi="宋体" w:eastAsia="宋体" w:cs="宋体"/>
                <w:b/>
                <w:i w:val="0"/>
                <w:iCs w:val="0"/>
                <w:snapToGrid/>
                <w:color w:val="000000"/>
                <w:kern w:val="0"/>
                <w:sz w:val="24"/>
                <w:szCs w:val="24"/>
                <w:lang w:eastAsia="zh-CN"/>
              </w:rPr>
            </w:pPr>
            <w:r>
              <w:rPr>
                <w:rFonts w:hint="eastAsia" w:ascii="宋体" w:hAnsi="宋体" w:eastAsia="宋体" w:cs="宋体"/>
                <w:b/>
                <w:i w:val="0"/>
                <w:iCs w:val="0"/>
                <w:snapToGrid/>
                <w:color w:val="000000"/>
                <w:kern w:val="0"/>
                <w:sz w:val="24"/>
                <w:szCs w:val="24"/>
                <w:lang w:eastAsia="zh-CN"/>
              </w:rPr>
              <w:t>评审内容</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7118140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b/>
                <w:i w:val="0"/>
                <w:iCs w:val="0"/>
                <w:snapToGrid/>
                <w:color w:val="000000"/>
                <w:kern w:val="0"/>
                <w:sz w:val="24"/>
                <w:szCs w:val="24"/>
                <w:lang w:eastAsia="zh-CN"/>
              </w:rPr>
            </w:pPr>
            <w:r>
              <w:rPr>
                <w:rFonts w:hint="eastAsia" w:ascii="宋体" w:hAnsi="宋体" w:eastAsia="宋体" w:cs="宋体"/>
                <w:b/>
                <w:i w:val="0"/>
                <w:iCs w:val="0"/>
                <w:snapToGrid/>
                <w:color w:val="000000"/>
                <w:kern w:val="0"/>
                <w:sz w:val="24"/>
                <w:szCs w:val="24"/>
                <w:lang w:eastAsia="zh-CN"/>
              </w:rPr>
              <w:t>分值</w:t>
            </w:r>
          </w:p>
        </w:tc>
      </w:tr>
      <w:tr w14:paraId="37A8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21" w:type="dxa"/>
            <w:tcBorders>
              <w:top w:val="single" w:color="auto" w:sz="4" w:space="0"/>
              <w:left w:val="single" w:color="auto" w:sz="4" w:space="0"/>
              <w:bottom w:val="single" w:color="auto" w:sz="4" w:space="0"/>
              <w:right w:val="single" w:color="auto" w:sz="4" w:space="0"/>
            </w:tcBorders>
            <w:noWrap w:val="0"/>
            <w:vAlign w:val="center"/>
          </w:tcPr>
          <w:p w14:paraId="7D547966">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bCs/>
                <w:i w:val="0"/>
                <w:iCs w:val="0"/>
                <w:snapToGrid/>
                <w:color w:val="000000"/>
                <w:kern w:val="0"/>
                <w:sz w:val="24"/>
                <w:szCs w:val="24"/>
                <w:lang w:eastAsia="zh-CN"/>
              </w:rPr>
            </w:pPr>
            <w:r>
              <w:rPr>
                <w:rFonts w:hint="eastAsia" w:ascii="宋体" w:hAnsi="宋体" w:eastAsia="宋体" w:cs="宋体"/>
                <w:bCs/>
                <w:i w:val="0"/>
                <w:iCs w:val="0"/>
                <w:snapToGrid/>
                <w:color w:val="000000"/>
                <w:kern w:val="0"/>
                <w:sz w:val="24"/>
                <w:szCs w:val="24"/>
                <w:lang w:val="en-US" w:eastAsia="zh-CN"/>
              </w:rPr>
              <w:t>技术符合性审查</w:t>
            </w:r>
          </w:p>
        </w:tc>
        <w:tc>
          <w:tcPr>
            <w:tcW w:w="8037" w:type="dxa"/>
            <w:gridSpan w:val="2"/>
            <w:tcBorders>
              <w:top w:val="single" w:color="auto" w:sz="4" w:space="0"/>
              <w:left w:val="single" w:color="auto" w:sz="4" w:space="0"/>
              <w:bottom w:val="single" w:color="auto" w:sz="4" w:space="0"/>
              <w:right w:val="single" w:color="auto" w:sz="4" w:space="0"/>
            </w:tcBorders>
            <w:noWrap w:val="0"/>
            <w:vAlign w:val="top"/>
          </w:tcPr>
          <w:p w14:paraId="67923836">
            <w:pPr>
              <w:keepNext w:val="0"/>
              <w:keepLines w:val="0"/>
              <w:pageBreakBefore w:val="0"/>
              <w:widowControl w:val="0"/>
              <w:tabs>
                <w:tab w:val="left" w:pos="327"/>
                <w:tab w:val="left" w:pos="720"/>
              </w:tabs>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b/>
                <w:i w:val="0"/>
                <w:iCs w:val="0"/>
                <w:snapToGrid/>
                <w:color w:val="000000"/>
                <w:kern w:val="2"/>
                <w:sz w:val="24"/>
                <w:szCs w:val="24"/>
                <w:lang w:eastAsia="zh-CN"/>
              </w:rPr>
            </w:pPr>
            <w:r>
              <w:rPr>
                <w:rFonts w:hint="eastAsia" w:ascii="宋体" w:hAnsi="宋体" w:eastAsia="宋体" w:cs="宋体"/>
                <w:i w:val="0"/>
                <w:iCs w:val="0"/>
                <w:snapToGrid/>
                <w:color w:val="000000"/>
                <w:kern w:val="2"/>
                <w:sz w:val="24"/>
                <w:szCs w:val="24"/>
                <w:lang w:val="en-US" w:eastAsia="zh-CN"/>
              </w:rPr>
              <w:t>供应商</w:t>
            </w:r>
            <w:r>
              <w:rPr>
                <w:rFonts w:hint="eastAsia" w:ascii="宋体" w:hAnsi="宋体" w:eastAsia="宋体" w:cs="宋体"/>
                <w:i w:val="0"/>
                <w:iCs w:val="0"/>
                <w:snapToGrid/>
                <w:color w:val="000000"/>
                <w:kern w:val="2"/>
                <w:sz w:val="24"/>
                <w:szCs w:val="24"/>
                <w:lang w:eastAsia="zh-CN"/>
              </w:rPr>
              <w:t>必须完全满足</w:t>
            </w:r>
            <w:r>
              <w:rPr>
                <w:rFonts w:hint="eastAsia" w:ascii="宋体" w:hAnsi="宋体" w:eastAsia="宋体" w:cs="宋体"/>
                <w:i w:val="0"/>
                <w:iCs w:val="0"/>
                <w:snapToGrid/>
                <w:color w:val="000000"/>
                <w:kern w:val="2"/>
                <w:sz w:val="24"/>
                <w:szCs w:val="24"/>
                <w:lang w:val="en-US" w:eastAsia="zh-CN"/>
              </w:rPr>
              <w:t>磋商</w:t>
            </w:r>
            <w:r>
              <w:rPr>
                <w:rFonts w:hint="eastAsia" w:ascii="宋体" w:hAnsi="宋体" w:eastAsia="宋体" w:cs="宋体"/>
                <w:i w:val="0"/>
                <w:iCs w:val="0"/>
                <w:snapToGrid/>
                <w:color w:val="000000"/>
                <w:kern w:val="2"/>
                <w:sz w:val="24"/>
                <w:szCs w:val="24"/>
                <w:lang w:eastAsia="zh-CN"/>
              </w:rPr>
              <w:t>文件第五章采购需求“技术要求”实质性条款，任意一项不满足作无效</w:t>
            </w:r>
            <w:r>
              <w:rPr>
                <w:rFonts w:hint="eastAsia" w:ascii="宋体" w:hAnsi="宋体" w:eastAsia="宋体" w:cs="宋体"/>
                <w:i w:val="0"/>
                <w:iCs w:val="0"/>
                <w:snapToGrid/>
                <w:color w:val="000000"/>
                <w:kern w:val="2"/>
                <w:sz w:val="24"/>
                <w:szCs w:val="24"/>
                <w:lang w:val="en-US" w:eastAsia="zh-CN"/>
              </w:rPr>
              <w:t>响应</w:t>
            </w:r>
            <w:r>
              <w:rPr>
                <w:rFonts w:hint="eastAsia" w:ascii="宋体" w:hAnsi="宋体" w:eastAsia="宋体" w:cs="宋体"/>
                <w:i w:val="0"/>
                <w:iCs w:val="0"/>
                <w:snapToGrid/>
                <w:color w:val="000000"/>
                <w:kern w:val="2"/>
                <w:sz w:val="24"/>
                <w:szCs w:val="24"/>
                <w:lang w:eastAsia="zh-CN"/>
              </w:rPr>
              <w:t>处理。</w:t>
            </w:r>
          </w:p>
          <w:p w14:paraId="6A14A96C">
            <w:pPr>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bCs/>
                <w:i w:val="0"/>
                <w:iCs w:val="0"/>
                <w:snapToGrid/>
                <w:color w:val="000000"/>
                <w:kern w:val="0"/>
                <w:sz w:val="24"/>
                <w:szCs w:val="24"/>
                <w:lang w:eastAsia="zh-CN"/>
              </w:rPr>
            </w:pPr>
            <w:r>
              <w:rPr>
                <w:rFonts w:hint="eastAsia" w:ascii="宋体" w:hAnsi="宋体" w:eastAsia="宋体" w:cs="宋体"/>
                <w:b/>
                <w:i w:val="0"/>
                <w:iCs w:val="0"/>
                <w:snapToGrid/>
                <w:color w:val="000000"/>
                <w:kern w:val="0"/>
                <w:sz w:val="24"/>
                <w:szCs w:val="24"/>
                <w:lang w:eastAsia="zh-CN" w:bidi="ar"/>
              </w:rPr>
              <w:t>评审依据：技术要求响应</w:t>
            </w:r>
            <w:r>
              <w:rPr>
                <w:rFonts w:hint="eastAsia" w:ascii="宋体" w:hAnsi="宋体" w:eastAsia="宋体" w:cs="宋体"/>
                <w:b/>
                <w:i w:val="0"/>
                <w:iCs w:val="0"/>
                <w:snapToGrid/>
                <w:color w:val="000000"/>
                <w:kern w:val="0"/>
                <w:sz w:val="24"/>
                <w:szCs w:val="24"/>
                <w:lang w:val="en-US" w:eastAsia="zh-CN" w:bidi="ar"/>
              </w:rPr>
              <w:t>/偏离</w:t>
            </w:r>
            <w:r>
              <w:rPr>
                <w:rFonts w:hint="eastAsia" w:ascii="宋体" w:hAnsi="宋体" w:eastAsia="宋体" w:cs="宋体"/>
                <w:b/>
                <w:i w:val="0"/>
                <w:iCs w:val="0"/>
                <w:snapToGrid/>
                <w:color w:val="000000"/>
                <w:kern w:val="0"/>
                <w:sz w:val="24"/>
                <w:szCs w:val="24"/>
                <w:lang w:eastAsia="zh-CN" w:bidi="ar"/>
              </w:rPr>
              <w:t>表。</w:t>
            </w:r>
          </w:p>
        </w:tc>
      </w:tr>
      <w:tr w14:paraId="3EA5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21" w:type="dxa"/>
            <w:tcBorders>
              <w:top w:val="single" w:color="auto" w:sz="4" w:space="0"/>
              <w:left w:val="single" w:color="auto" w:sz="4" w:space="0"/>
              <w:bottom w:val="single" w:color="auto" w:sz="4" w:space="0"/>
              <w:right w:val="single" w:color="auto" w:sz="4" w:space="0"/>
            </w:tcBorders>
            <w:noWrap w:val="0"/>
            <w:vAlign w:val="center"/>
          </w:tcPr>
          <w:p w14:paraId="3E461E7F">
            <w:pPr>
              <w:keepNext w:val="0"/>
              <w:keepLines w:val="0"/>
              <w:pageBreakBefore w:val="0"/>
              <w:kinsoku/>
              <w:wordWrap/>
              <w:overflowPunct/>
              <w:topLinePunct w:val="0"/>
              <w:autoSpaceDE/>
              <w:autoSpaceDN/>
              <w:bidi w:val="0"/>
              <w:spacing w:after="0" w:line="440" w:lineRule="exact"/>
              <w:ind w:right="0" w:firstLine="0" w:firstLineChars="0"/>
              <w:jc w:val="center"/>
              <w:textAlignment w:val="auto"/>
              <w:rPr>
                <w:rFonts w:hint="eastAsia" w:ascii="宋体" w:hAnsi="宋体" w:eastAsia="宋体" w:cs="宋体"/>
                <w:bCs/>
                <w:i w:val="0"/>
                <w:iCs w:val="0"/>
                <w:snapToGrid/>
                <w:color w:val="auto"/>
                <w:kern w:val="0"/>
                <w:sz w:val="24"/>
                <w:szCs w:val="24"/>
                <w:highlight w:val="none"/>
                <w:lang w:val="en-US" w:eastAsia="zh-CN"/>
              </w:rPr>
            </w:pPr>
            <w:r>
              <w:rPr>
                <w:rFonts w:hint="eastAsia" w:ascii="宋体" w:hAnsi="宋体" w:eastAsia="宋体" w:cs="宋体"/>
                <w:b w:val="0"/>
                <w:bCs w:val="0"/>
                <w:sz w:val="24"/>
                <w:szCs w:val="24"/>
                <w:lang w:val="en-US" w:eastAsia="zh-CN"/>
              </w:rPr>
              <w:t>售后服务方案</w:t>
            </w:r>
          </w:p>
        </w:tc>
        <w:tc>
          <w:tcPr>
            <w:tcW w:w="7116" w:type="dxa"/>
            <w:tcBorders>
              <w:top w:val="single" w:color="auto" w:sz="4" w:space="0"/>
              <w:left w:val="single" w:color="auto" w:sz="4" w:space="0"/>
              <w:bottom w:val="single" w:color="auto" w:sz="4" w:space="0"/>
              <w:right w:val="single" w:color="auto" w:sz="4" w:space="0"/>
            </w:tcBorders>
            <w:noWrap w:val="0"/>
            <w:vAlign w:val="center"/>
          </w:tcPr>
          <w:p w14:paraId="1A8A087C">
            <w:pPr>
              <w:keepNext w:val="0"/>
              <w:keepLines w:val="0"/>
              <w:pageBreakBefore w:val="0"/>
              <w:widowControl/>
              <w:kinsoku/>
              <w:wordWrap/>
              <w:overflowPunct/>
              <w:topLinePunct w:val="0"/>
              <w:autoSpaceDE/>
              <w:autoSpaceDN/>
              <w:bidi w:val="0"/>
              <w:adjustRightInd w:val="0"/>
              <w:snapToGrid w:val="0"/>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供应商针对本项目提供售后服务方案，方案包括以下内容：</w:t>
            </w:r>
            <w:r>
              <w:rPr>
                <w:rFonts w:hint="eastAsia" w:ascii="宋体" w:hAnsi="宋体" w:eastAsia="宋体" w:cs="宋体"/>
                <w:color w:val="auto"/>
                <w:sz w:val="24"/>
                <w:szCs w:val="24"/>
                <w:lang w:val="en-US" w:eastAsia="zh-CN"/>
              </w:rPr>
              <w:t>1.</w:t>
            </w:r>
            <w:r>
              <w:rPr>
                <w:rFonts w:hint="eastAsia" w:ascii="宋体" w:hAnsi="宋体" w:eastAsia="宋体" w:cs="宋体"/>
                <w:color w:val="auto"/>
                <w:kern w:val="2"/>
                <w:sz w:val="24"/>
                <w:szCs w:val="24"/>
                <w:lang w:val="en-US" w:eastAsia="zh-CN"/>
              </w:rPr>
              <w:t>本项目特点和难点理解准确；2.售后服务标准；3.响应时间；4.故障修复时间；5.专业维修技术人员；6.应急预案；7.技术保障措施；8.回访；9.备品备件供应；10.培训方案；</w:t>
            </w:r>
          </w:p>
          <w:p w14:paraId="5869A605">
            <w:pPr>
              <w:keepNext w:val="0"/>
              <w:keepLines w:val="0"/>
              <w:pageBreakBefore w:val="0"/>
              <w:widowControl/>
              <w:kinsoku/>
              <w:wordWrap/>
              <w:overflowPunct/>
              <w:topLinePunct w:val="0"/>
              <w:autoSpaceDE/>
              <w:autoSpaceDN/>
              <w:bidi w:val="0"/>
              <w:adjustRightInd w:val="0"/>
              <w:snapToGrid w:val="0"/>
              <w:spacing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每有一项内容完全符合本项目采购需求的，该项内容得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分；每有一项内容存在缺陷的，该项内容得</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分；每缺一项内容的，该项内容不得</w:t>
            </w:r>
            <w:bookmarkStart w:id="15" w:name="_GoBack"/>
            <w:bookmarkEnd w:id="15"/>
            <w:r>
              <w:rPr>
                <w:rFonts w:hint="eastAsia" w:ascii="宋体" w:hAnsi="宋体" w:eastAsia="宋体" w:cs="宋体"/>
                <w:color w:val="auto"/>
                <w:sz w:val="24"/>
                <w:szCs w:val="24"/>
              </w:rPr>
              <w:t>分；最高得</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p w14:paraId="63D9E0FF">
            <w:pPr>
              <w:keepNext w:val="0"/>
              <w:keepLines w:val="0"/>
              <w:pageBreakBefore w:val="0"/>
              <w:widowControl/>
              <w:kinsoku/>
              <w:wordWrap/>
              <w:overflowPunct/>
              <w:topLinePunct w:val="0"/>
              <w:autoSpaceDE/>
              <w:autoSpaceDN/>
              <w:bidi w:val="0"/>
              <w:adjustRightInd w:val="0"/>
              <w:snapToGrid w:val="0"/>
              <w:spacing w:line="440" w:lineRule="exact"/>
              <w:ind w:right="0"/>
              <w:jc w:val="left"/>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sz w:val="24"/>
                <w:szCs w:val="24"/>
              </w:rPr>
              <w:t>“内容缺陷”是指：方案阐述的内容仅罗列了上述要点，没有进行相应的说明、缺少具体的实施措施，方案内容有明显缺失、描述内容不规范、不清晰、不具备可行性等情况。</w:t>
            </w:r>
          </w:p>
          <w:p w14:paraId="5FF5D96F">
            <w:pPr>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right="0"/>
              <w:jc w:val="left"/>
              <w:textAlignment w:val="auto"/>
              <w:rPr>
                <w:rFonts w:hint="eastAsia" w:ascii="宋体" w:hAnsi="宋体" w:eastAsia="宋体" w:cs="宋体"/>
                <w:b/>
                <w:bCs/>
                <w:color w:val="auto"/>
                <w:sz w:val="24"/>
                <w:szCs w:val="24"/>
                <w:highlight w:val="none"/>
                <w:lang w:val="en-US" w:bidi="ar"/>
              </w:rPr>
            </w:pPr>
            <w:r>
              <w:rPr>
                <w:rFonts w:hint="eastAsia" w:ascii="宋体" w:hAnsi="宋体" w:eastAsia="宋体" w:cs="宋体"/>
                <w:b/>
                <w:bCs/>
                <w:kern w:val="2"/>
                <w:sz w:val="24"/>
                <w:szCs w:val="24"/>
                <w:lang w:val="en-US" w:eastAsia="zh-CN"/>
              </w:rPr>
              <w:t>评审依据：提供售后服务方案并加盖供应商公章。</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354FE46F">
            <w:pPr>
              <w:keepNext w:val="0"/>
              <w:keepLines w:val="0"/>
              <w:pageBreakBefore w:val="0"/>
              <w:kinsoku/>
              <w:wordWrap/>
              <w:overflowPunct/>
              <w:topLinePunct w:val="0"/>
              <w:autoSpaceDE/>
              <w:autoSpaceDN/>
              <w:bidi w:val="0"/>
              <w:spacing w:after="0" w:line="440" w:lineRule="exact"/>
              <w:ind w:right="0" w:firstLine="0" w:firstLineChars="0"/>
              <w:jc w:val="center"/>
              <w:textAlignment w:val="auto"/>
              <w:rPr>
                <w:rFonts w:hint="eastAsia" w:ascii="宋体" w:hAnsi="宋体" w:eastAsia="宋体" w:cs="宋体"/>
                <w:bCs/>
                <w:i w:val="0"/>
                <w:iCs w:val="0"/>
                <w:snapToGrid/>
                <w:color w:val="auto"/>
                <w:kern w:val="0"/>
                <w:sz w:val="24"/>
                <w:szCs w:val="24"/>
                <w:highlight w:val="none"/>
                <w:lang w:val="en-US" w:eastAsia="zh-CN"/>
              </w:rPr>
            </w:pP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rPr>
              <w:t>分</w:t>
            </w:r>
          </w:p>
        </w:tc>
      </w:tr>
      <w:tr w14:paraId="28C1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21" w:type="dxa"/>
            <w:tcBorders>
              <w:top w:val="single" w:color="auto" w:sz="4" w:space="0"/>
              <w:left w:val="single" w:color="auto" w:sz="4" w:space="0"/>
              <w:bottom w:val="single" w:color="auto" w:sz="4" w:space="0"/>
              <w:right w:val="single" w:color="auto" w:sz="4" w:space="0"/>
            </w:tcBorders>
            <w:noWrap w:val="0"/>
            <w:vAlign w:val="center"/>
          </w:tcPr>
          <w:p w14:paraId="4F0ACFF4">
            <w:pPr>
              <w:keepNext w:val="0"/>
              <w:keepLines w:val="0"/>
              <w:pageBreakBefore w:val="0"/>
              <w:kinsoku/>
              <w:wordWrap/>
              <w:overflowPunct/>
              <w:topLinePunct w:val="0"/>
              <w:autoSpaceDE/>
              <w:autoSpaceDN/>
              <w:bidi w:val="0"/>
              <w:spacing w:after="0" w:line="440" w:lineRule="exact"/>
              <w:ind w:right="0" w:firstLine="0" w:firstLineChars="0"/>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Cs/>
                <w:color w:val="auto"/>
                <w:sz w:val="24"/>
                <w:szCs w:val="24"/>
                <w:lang w:val="en-US" w:eastAsia="zh-CN"/>
              </w:rPr>
              <w:t>版式深化设计能力</w:t>
            </w:r>
          </w:p>
        </w:tc>
        <w:tc>
          <w:tcPr>
            <w:tcW w:w="7116" w:type="dxa"/>
            <w:tcBorders>
              <w:top w:val="single" w:color="auto" w:sz="4" w:space="0"/>
              <w:left w:val="single" w:color="auto" w:sz="4" w:space="0"/>
              <w:bottom w:val="single" w:color="auto" w:sz="4" w:space="0"/>
              <w:right w:val="single" w:color="auto" w:sz="4" w:space="0"/>
            </w:tcBorders>
            <w:noWrap w:val="0"/>
            <w:vAlign w:val="center"/>
          </w:tcPr>
          <w:p w14:paraId="5D75C351">
            <w:pPr>
              <w:keepNext w:val="0"/>
              <w:keepLines w:val="0"/>
              <w:pageBreakBefore w:val="0"/>
              <w:widowControl w:val="0"/>
              <w:kinsoku/>
              <w:wordWrap/>
              <w:overflowPunct/>
              <w:topLinePunct w:val="0"/>
              <w:autoSpaceDE/>
              <w:autoSpaceDN/>
              <w:bidi w:val="0"/>
              <w:adjustRightInd/>
              <w:snapToGrid w:val="0"/>
              <w:spacing w:line="440" w:lineRule="exact"/>
              <w:ind w:right="0"/>
              <w:jc w:val="left"/>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供应商根据本项目实际情况（效果图、尺寸图、勘察情况等）针对</w:t>
            </w:r>
            <w:r>
              <w:rPr>
                <w:rFonts w:hint="eastAsia" w:ascii="宋体" w:hAnsi="宋体" w:eastAsia="宋体" w:cs="宋体"/>
                <w:b/>
                <w:bCs w:val="0"/>
                <w:color w:val="auto"/>
                <w:sz w:val="24"/>
                <w:szCs w:val="24"/>
                <w:lang w:val="en-US" w:eastAsia="zh-CN"/>
              </w:rPr>
              <w:t>“</w:t>
            </w:r>
            <w:r>
              <w:rPr>
                <w:rFonts w:hint="eastAsia" w:ascii="宋体" w:hAnsi="宋体" w:cs="宋体"/>
                <w:b/>
                <w:bCs w:val="0"/>
                <w:color w:val="auto"/>
                <w:sz w:val="24"/>
                <w:szCs w:val="24"/>
                <w:lang w:val="en-US" w:eastAsia="zh-CN"/>
              </w:rPr>
              <w:t>红医</w:t>
            </w:r>
            <w:r>
              <w:rPr>
                <w:rFonts w:hint="eastAsia" w:ascii="宋体" w:hAnsi="宋体" w:eastAsia="宋体" w:cs="宋体"/>
                <w:b/>
                <w:bCs w:val="0"/>
                <w:color w:val="auto"/>
                <w:sz w:val="24"/>
                <w:szCs w:val="24"/>
                <w:lang w:val="en-US" w:eastAsia="zh-CN"/>
              </w:rPr>
              <w:t>园文化艺术景观主体框架部分”</w:t>
            </w:r>
            <w:r>
              <w:rPr>
                <w:rFonts w:hint="eastAsia" w:ascii="宋体" w:hAnsi="宋体" w:eastAsia="宋体" w:cs="宋体"/>
                <w:bCs/>
                <w:color w:val="auto"/>
                <w:sz w:val="24"/>
                <w:szCs w:val="24"/>
                <w:lang w:val="en-US" w:eastAsia="zh-CN"/>
              </w:rPr>
              <w:t>，出具平面版面二次深化图，并根据平面版式二次深化图，出具对应渲染效果图。</w:t>
            </w:r>
          </w:p>
          <w:p w14:paraId="401F9C55">
            <w:pPr>
              <w:keepNext w:val="0"/>
              <w:keepLines w:val="0"/>
              <w:pageBreakBefore w:val="0"/>
              <w:widowControl w:val="0"/>
              <w:kinsoku/>
              <w:wordWrap/>
              <w:overflowPunct/>
              <w:topLinePunct w:val="0"/>
              <w:autoSpaceDE/>
              <w:autoSpaceDN/>
              <w:bidi w:val="0"/>
              <w:adjustRightInd/>
              <w:snapToGrid w:val="0"/>
              <w:spacing w:line="440" w:lineRule="exact"/>
              <w:ind w:right="0"/>
              <w:jc w:val="left"/>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①提供上述要求内容得5分，缺项漏项不得分；</w:t>
            </w:r>
          </w:p>
          <w:p w14:paraId="11E76C46">
            <w:pPr>
              <w:keepNext w:val="0"/>
              <w:keepLines w:val="0"/>
              <w:pageBreakBefore w:val="0"/>
              <w:widowControl w:val="0"/>
              <w:kinsoku/>
              <w:wordWrap/>
              <w:overflowPunct/>
              <w:topLinePunct w:val="0"/>
              <w:autoSpaceDE/>
              <w:autoSpaceDN/>
              <w:bidi w:val="0"/>
              <w:adjustRightInd/>
              <w:snapToGrid w:val="0"/>
              <w:spacing w:line="440" w:lineRule="exact"/>
              <w:ind w:right="0"/>
              <w:jc w:val="left"/>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②与本项目的文化主题贴切，设计元素具有南昌医学院特色，并说明设计元素的推演和设计配色说明的得2分；</w:t>
            </w:r>
          </w:p>
          <w:p w14:paraId="4C8A1D3B">
            <w:pPr>
              <w:keepNext w:val="0"/>
              <w:keepLines w:val="0"/>
              <w:pageBreakBefore w:val="0"/>
              <w:widowControl w:val="0"/>
              <w:kinsoku/>
              <w:wordWrap/>
              <w:overflowPunct/>
              <w:topLinePunct w:val="0"/>
              <w:autoSpaceDE/>
              <w:autoSpaceDN/>
              <w:bidi w:val="0"/>
              <w:adjustRightInd/>
              <w:snapToGrid w:val="0"/>
              <w:spacing w:line="440" w:lineRule="exact"/>
              <w:ind w:right="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③版式色彩的艺术效果与环境相呼应，并进行说明的得2分；</w:t>
            </w:r>
          </w:p>
          <w:p w14:paraId="2898C8A3">
            <w:pPr>
              <w:keepNext w:val="0"/>
              <w:keepLines w:val="0"/>
              <w:pageBreakBefore w:val="0"/>
              <w:widowControl w:val="0"/>
              <w:kinsoku/>
              <w:wordWrap/>
              <w:overflowPunct/>
              <w:topLinePunct w:val="0"/>
              <w:autoSpaceDE/>
              <w:autoSpaceDN/>
              <w:bidi w:val="0"/>
              <w:adjustRightInd/>
              <w:snapToGrid w:val="0"/>
              <w:spacing w:line="440" w:lineRule="exact"/>
              <w:ind w:right="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本项最高得9分。</w:t>
            </w:r>
          </w:p>
          <w:p w14:paraId="18C6F7C5">
            <w:pPr>
              <w:keepNext w:val="0"/>
              <w:keepLines w:val="0"/>
              <w:pageBreakBefore w:val="0"/>
              <w:widowControl w:val="0"/>
              <w:numPr>
                <w:ilvl w:val="0"/>
                <w:numId w:val="0"/>
              </w:numPr>
              <w:kinsoku/>
              <w:wordWrap/>
              <w:overflowPunct/>
              <w:topLinePunct w:val="0"/>
              <w:autoSpaceDE/>
              <w:autoSpaceDN/>
              <w:bidi w:val="0"/>
              <w:adjustRightInd/>
              <w:spacing w:line="440" w:lineRule="exact"/>
              <w:ind w:right="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评审依据：提供对应图纸并加盖供应商公章。</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4E06B967">
            <w:pPr>
              <w:keepNext w:val="0"/>
              <w:keepLines w:val="0"/>
              <w:pageBreakBefore w:val="0"/>
              <w:kinsoku/>
              <w:wordWrap/>
              <w:overflowPunct/>
              <w:topLinePunct w:val="0"/>
              <w:autoSpaceDE/>
              <w:autoSpaceDN/>
              <w:bidi w:val="0"/>
              <w:spacing w:after="0" w:line="440" w:lineRule="exact"/>
              <w:ind w:right="0" w:firstLine="0" w:firstLineChars="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9分</w:t>
            </w:r>
          </w:p>
        </w:tc>
      </w:tr>
      <w:tr w14:paraId="0A8D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158" w:type="dxa"/>
            <w:gridSpan w:val="3"/>
            <w:tcBorders>
              <w:top w:val="single" w:color="auto" w:sz="4" w:space="0"/>
              <w:left w:val="single" w:color="auto" w:sz="4" w:space="0"/>
              <w:bottom w:val="single" w:color="auto" w:sz="4" w:space="0"/>
              <w:right w:val="single" w:color="auto" w:sz="4" w:space="0"/>
            </w:tcBorders>
            <w:noWrap w:val="0"/>
            <w:vAlign w:val="center"/>
          </w:tcPr>
          <w:p w14:paraId="2095963F">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b/>
                <w:i w:val="0"/>
                <w:iCs w:val="0"/>
                <w:snapToGrid/>
                <w:color w:val="FF0000"/>
                <w:kern w:val="0"/>
                <w:sz w:val="24"/>
                <w:szCs w:val="24"/>
                <w:lang w:eastAsia="zh-CN"/>
              </w:rPr>
            </w:pPr>
            <w:r>
              <w:rPr>
                <w:rFonts w:hint="eastAsia" w:ascii="宋体" w:hAnsi="宋体" w:eastAsia="宋体" w:cs="宋体"/>
                <w:b/>
                <w:i w:val="0"/>
                <w:iCs w:val="0"/>
                <w:snapToGrid/>
                <w:color w:val="auto"/>
                <w:kern w:val="0"/>
                <w:sz w:val="24"/>
                <w:szCs w:val="24"/>
                <w:lang w:eastAsia="zh-CN"/>
              </w:rPr>
              <w:t>（三）商务部分（</w:t>
            </w:r>
            <w:r>
              <w:rPr>
                <w:rFonts w:hint="eastAsia" w:ascii="宋体" w:hAnsi="宋体" w:eastAsia="宋体" w:cs="宋体"/>
                <w:b/>
                <w:i w:val="0"/>
                <w:iCs w:val="0"/>
                <w:snapToGrid/>
                <w:color w:val="auto"/>
                <w:kern w:val="0"/>
                <w:sz w:val="24"/>
                <w:szCs w:val="24"/>
                <w:lang w:val="en-US" w:eastAsia="zh-CN"/>
              </w:rPr>
              <w:t>16</w:t>
            </w:r>
            <w:r>
              <w:rPr>
                <w:rFonts w:hint="eastAsia" w:ascii="宋体" w:hAnsi="宋体" w:eastAsia="宋体" w:cs="宋体"/>
                <w:b/>
                <w:i w:val="0"/>
                <w:iCs w:val="0"/>
                <w:snapToGrid/>
                <w:color w:val="auto"/>
                <w:kern w:val="0"/>
                <w:sz w:val="24"/>
                <w:szCs w:val="24"/>
                <w:lang w:eastAsia="zh-CN"/>
              </w:rPr>
              <w:t>分）</w:t>
            </w:r>
          </w:p>
        </w:tc>
      </w:tr>
      <w:tr w14:paraId="4F59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21" w:type="dxa"/>
            <w:tcBorders>
              <w:top w:val="single" w:color="auto" w:sz="4" w:space="0"/>
              <w:left w:val="single" w:color="auto" w:sz="4" w:space="0"/>
              <w:bottom w:val="single" w:color="auto" w:sz="4" w:space="0"/>
              <w:right w:val="single" w:color="auto" w:sz="4" w:space="0"/>
            </w:tcBorders>
            <w:noWrap w:val="0"/>
            <w:vAlign w:val="center"/>
          </w:tcPr>
          <w:p w14:paraId="61E6648D">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b/>
                <w:i w:val="0"/>
                <w:iCs w:val="0"/>
                <w:snapToGrid/>
                <w:color w:val="000000"/>
                <w:kern w:val="0"/>
                <w:sz w:val="24"/>
                <w:szCs w:val="24"/>
                <w:lang w:eastAsia="zh-CN"/>
              </w:rPr>
            </w:pPr>
            <w:r>
              <w:rPr>
                <w:rFonts w:hint="eastAsia" w:ascii="宋体" w:hAnsi="宋体" w:eastAsia="宋体" w:cs="宋体"/>
                <w:b/>
                <w:i w:val="0"/>
                <w:iCs w:val="0"/>
                <w:snapToGrid/>
                <w:color w:val="000000"/>
                <w:kern w:val="0"/>
                <w:sz w:val="24"/>
                <w:szCs w:val="24"/>
                <w:lang w:eastAsia="zh-CN"/>
              </w:rPr>
              <w:t>评分点</w:t>
            </w:r>
          </w:p>
        </w:tc>
        <w:tc>
          <w:tcPr>
            <w:tcW w:w="7116" w:type="dxa"/>
            <w:tcBorders>
              <w:top w:val="single" w:color="auto" w:sz="4" w:space="0"/>
              <w:left w:val="single" w:color="auto" w:sz="4" w:space="0"/>
              <w:bottom w:val="single" w:color="auto" w:sz="4" w:space="0"/>
              <w:right w:val="single" w:color="auto" w:sz="4" w:space="0"/>
            </w:tcBorders>
            <w:noWrap w:val="0"/>
            <w:vAlign w:val="center"/>
          </w:tcPr>
          <w:p w14:paraId="27A657AF">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b/>
                <w:i w:val="0"/>
                <w:iCs w:val="0"/>
                <w:snapToGrid/>
                <w:color w:val="000000"/>
                <w:kern w:val="0"/>
                <w:sz w:val="24"/>
                <w:szCs w:val="24"/>
                <w:lang w:eastAsia="zh-CN"/>
              </w:rPr>
            </w:pPr>
            <w:r>
              <w:rPr>
                <w:rFonts w:hint="eastAsia" w:ascii="宋体" w:hAnsi="宋体" w:eastAsia="宋体" w:cs="宋体"/>
                <w:b/>
                <w:i w:val="0"/>
                <w:iCs w:val="0"/>
                <w:snapToGrid/>
                <w:color w:val="000000"/>
                <w:kern w:val="0"/>
                <w:sz w:val="24"/>
                <w:szCs w:val="24"/>
                <w:lang w:eastAsia="zh-CN"/>
              </w:rPr>
              <w:t>评审内容</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27902FC5">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b/>
                <w:i w:val="0"/>
                <w:iCs w:val="0"/>
                <w:snapToGrid/>
                <w:color w:val="000000"/>
                <w:kern w:val="0"/>
                <w:sz w:val="24"/>
                <w:szCs w:val="24"/>
                <w:lang w:eastAsia="zh-CN"/>
              </w:rPr>
            </w:pPr>
            <w:r>
              <w:rPr>
                <w:rFonts w:hint="eastAsia" w:ascii="宋体" w:hAnsi="宋体" w:eastAsia="宋体" w:cs="宋体"/>
                <w:b/>
                <w:i w:val="0"/>
                <w:iCs w:val="0"/>
                <w:snapToGrid/>
                <w:color w:val="000000"/>
                <w:kern w:val="0"/>
                <w:sz w:val="24"/>
                <w:szCs w:val="24"/>
                <w:lang w:eastAsia="zh-CN"/>
              </w:rPr>
              <w:t>分值</w:t>
            </w:r>
          </w:p>
        </w:tc>
      </w:tr>
      <w:tr w14:paraId="2E97C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21" w:type="dxa"/>
            <w:tcBorders>
              <w:top w:val="single" w:color="auto" w:sz="4" w:space="0"/>
              <w:left w:val="single" w:color="auto" w:sz="4" w:space="0"/>
              <w:bottom w:val="single" w:color="auto" w:sz="4" w:space="0"/>
              <w:right w:val="single" w:color="auto" w:sz="4" w:space="0"/>
            </w:tcBorders>
            <w:noWrap w:val="0"/>
            <w:vAlign w:val="center"/>
          </w:tcPr>
          <w:p w14:paraId="721C2947">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bCs/>
                <w:i w:val="0"/>
                <w:iCs w:val="0"/>
                <w:snapToGrid/>
                <w:color w:val="000000"/>
                <w:kern w:val="0"/>
                <w:sz w:val="24"/>
                <w:szCs w:val="24"/>
                <w:lang w:eastAsia="zh-CN"/>
              </w:rPr>
            </w:pPr>
            <w:r>
              <w:rPr>
                <w:rFonts w:hint="eastAsia" w:ascii="宋体" w:hAnsi="宋体" w:eastAsia="宋体" w:cs="宋体"/>
                <w:bCs/>
                <w:i w:val="0"/>
                <w:iCs w:val="0"/>
                <w:snapToGrid/>
                <w:color w:val="000000"/>
                <w:kern w:val="0"/>
                <w:sz w:val="24"/>
                <w:szCs w:val="24"/>
                <w:lang w:val="en-US" w:eastAsia="zh-CN"/>
              </w:rPr>
              <w:t>商务符合性审查</w:t>
            </w:r>
          </w:p>
        </w:tc>
        <w:tc>
          <w:tcPr>
            <w:tcW w:w="8037" w:type="dxa"/>
            <w:gridSpan w:val="2"/>
            <w:tcBorders>
              <w:top w:val="single" w:color="auto" w:sz="4" w:space="0"/>
              <w:left w:val="single" w:color="auto" w:sz="4" w:space="0"/>
              <w:bottom w:val="single" w:color="auto" w:sz="4" w:space="0"/>
              <w:right w:val="single" w:color="auto" w:sz="4" w:space="0"/>
            </w:tcBorders>
            <w:noWrap w:val="0"/>
            <w:vAlign w:val="top"/>
          </w:tcPr>
          <w:p w14:paraId="792A8AAE">
            <w:pPr>
              <w:keepNext w:val="0"/>
              <w:keepLines w:val="0"/>
              <w:pageBreakBefore w:val="0"/>
              <w:widowControl w:val="0"/>
              <w:tabs>
                <w:tab w:val="left" w:pos="327"/>
                <w:tab w:val="left" w:pos="720"/>
              </w:tabs>
              <w:kinsoku/>
              <w:wordWrap/>
              <w:overflowPunct/>
              <w:topLinePunct w:val="0"/>
              <w:autoSpaceDE/>
              <w:autoSpaceDN/>
              <w:bidi w:val="0"/>
              <w:adjustRightInd/>
              <w:snapToGrid/>
              <w:spacing w:line="440" w:lineRule="exact"/>
              <w:ind w:right="0"/>
              <w:jc w:val="left"/>
              <w:textAlignment w:val="auto"/>
              <w:rPr>
                <w:rFonts w:hint="eastAsia" w:ascii="宋体" w:hAnsi="宋体" w:eastAsia="宋体" w:cs="宋体"/>
                <w:i w:val="0"/>
                <w:iCs w:val="0"/>
                <w:snapToGrid/>
                <w:color w:val="000000"/>
                <w:kern w:val="2"/>
                <w:sz w:val="24"/>
                <w:szCs w:val="24"/>
                <w:lang w:eastAsia="zh-CN"/>
              </w:rPr>
            </w:pPr>
            <w:r>
              <w:rPr>
                <w:rFonts w:hint="eastAsia" w:ascii="宋体" w:hAnsi="宋体" w:eastAsia="宋体" w:cs="宋体"/>
                <w:i w:val="0"/>
                <w:iCs w:val="0"/>
                <w:snapToGrid/>
                <w:color w:val="000000"/>
                <w:kern w:val="2"/>
                <w:sz w:val="24"/>
                <w:szCs w:val="24"/>
                <w:lang w:val="en-US" w:eastAsia="zh-CN"/>
              </w:rPr>
              <w:t>供应商</w:t>
            </w:r>
            <w:r>
              <w:rPr>
                <w:rFonts w:hint="eastAsia" w:ascii="宋体" w:hAnsi="宋体" w:eastAsia="宋体" w:cs="宋体"/>
                <w:i w:val="0"/>
                <w:iCs w:val="0"/>
                <w:snapToGrid/>
                <w:color w:val="000000"/>
                <w:kern w:val="2"/>
                <w:sz w:val="24"/>
                <w:szCs w:val="24"/>
                <w:lang w:eastAsia="zh-CN"/>
              </w:rPr>
              <w:t>必须完全满足</w:t>
            </w:r>
            <w:r>
              <w:rPr>
                <w:rFonts w:hint="eastAsia" w:ascii="宋体" w:hAnsi="宋体" w:eastAsia="宋体" w:cs="宋体"/>
                <w:i w:val="0"/>
                <w:iCs w:val="0"/>
                <w:snapToGrid/>
                <w:color w:val="000000"/>
                <w:kern w:val="2"/>
                <w:sz w:val="24"/>
                <w:szCs w:val="24"/>
                <w:lang w:val="en-US" w:eastAsia="zh-CN"/>
              </w:rPr>
              <w:t>磋商</w:t>
            </w:r>
            <w:r>
              <w:rPr>
                <w:rFonts w:hint="eastAsia" w:ascii="宋体" w:hAnsi="宋体" w:eastAsia="宋体" w:cs="宋体"/>
                <w:i w:val="0"/>
                <w:iCs w:val="0"/>
                <w:snapToGrid/>
                <w:color w:val="000000"/>
                <w:kern w:val="2"/>
                <w:sz w:val="24"/>
                <w:szCs w:val="24"/>
                <w:lang w:eastAsia="zh-CN"/>
              </w:rPr>
              <w:t>文件第五章采购需求“商务要求”实质性条款，任意一项不满足作无效</w:t>
            </w:r>
            <w:r>
              <w:rPr>
                <w:rFonts w:hint="eastAsia" w:ascii="宋体" w:hAnsi="宋体" w:eastAsia="宋体" w:cs="宋体"/>
                <w:i w:val="0"/>
                <w:iCs w:val="0"/>
                <w:snapToGrid/>
                <w:color w:val="000000"/>
                <w:kern w:val="2"/>
                <w:sz w:val="24"/>
                <w:szCs w:val="24"/>
                <w:lang w:val="en-US" w:eastAsia="zh-CN"/>
              </w:rPr>
              <w:t>响应</w:t>
            </w:r>
            <w:r>
              <w:rPr>
                <w:rFonts w:hint="eastAsia" w:ascii="宋体" w:hAnsi="宋体" w:eastAsia="宋体" w:cs="宋体"/>
                <w:i w:val="0"/>
                <w:iCs w:val="0"/>
                <w:snapToGrid/>
                <w:color w:val="000000"/>
                <w:kern w:val="2"/>
                <w:sz w:val="24"/>
                <w:szCs w:val="24"/>
                <w:lang w:eastAsia="zh-CN"/>
              </w:rPr>
              <w:t>处理。</w:t>
            </w:r>
          </w:p>
          <w:p w14:paraId="5C306882">
            <w:pPr>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bCs/>
                <w:i w:val="0"/>
                <w:iCs w:val="0"/>
                <w:snapToGrid/>
                <w:color w:val="000000"/>
                <w:kern w:val="0"/>
                <w:sz w:val="24"/>
                <w:szCs w:val="24"/>
                <w:lang w:eastAsia="zh-CN"/>
              </w:rPr>
            </w:pPr>
            <w:r>
              <w:rPr>
                <w:rFonts w:hint="eastAsia" w:ascii="宋体" w:hAnsi="宋体" w:eastAsia="宋体" w:cs="宋体"/>
                <w:b/>
                <w:i w:val="0"/>
                <w:iCs w:val="0"/>
                <w:snapToGrid/>
                <w:color w:val="000000"/>
                <w:kern w:val="0"/>
                <w:sz w:val="24"/>
                <w:szCs w:val="24"/>
                <w:lang w:eastAsia="zh-CN" w:bidi="ar"/>
              </w:rPr>
              <w:t>评审依据：商务要求响应</w:t>
            </w:r>
            <w:r>
              <w:rPr>
                <w:rFonts w:hint="eastAsia" w:ascii="宋体" w:hAnsi="宋体" w:eastAsia="宋体" w:cs="宋体"/>
                <w:b/>
                <w:i w:val="0"/>
                <w:iCs w:val="0"/>
                <w:snapToGrid/>
                <w:color w:val="000000"/>
                <w:kern w:val="0"/>
                <w:sz w:val="24"/>
                <w:szCs w:val="24"/>
                <w:lang w:val="en-US" w:eastAsia="zh-CN" w:bidi="ar"/>
              </w:rPr>
              <w:t>/偏离</w:t>
            </w:r>
            <w:r>
              <w:rPr>
                <w:rFonts w:hint="eastAsia" w:ascii="宋体" w:hAnsi="宋体" w:eastAsia="宋体" w:cs="宋体"/>
                <w:b/>
                <w:i w:val="0"/>
                <w:iCs w:val="0"/>
                <w:snapToGrid/>
                <w:color w:val="000000"/>
                <w:kern w:val="0"/>
                <w:sz w:val="24"/>
                <w:szCs w:val="24"/>
                <w:lang w:eastAsia="zh-CN" w:bidi="ar"/>
              </w:rPr>
              <w:t>表。</w:t>
            </w:r>
          </w:p>
        </w:tc>
      </w:tr>
      <w:tr w14:paraId="548F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21" w:type="dxa"/>
            <w:tcBorders>
              <w:top w:val="single" w:color="auto" w:sz="4" w:space="0"/>
              <w:left w:val="single" w:color="auto" w:sz="4" w:space="0"/>
              <w:bottom w:val="single" w:color="auto" w:sz="4" w:space="0"/>
              <w:right w:val="single" w:color="auto" w:sz="4" w:space="0"/>
            </w:tcBorders>
            <w:noWrap w:val="0"/>
            <w:vAlign w:val="center"/>
          </w:tcPr>
          <w:p w14:paraId="37B6F6BC">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bCs/>
                <w:i w:val="0"/>
                <w:iCs w:val="0"/>
                <w:snapToGrid/>
                <w:color w:val="000000"/>
                <w:kern w:val="0"/>
                <w:sz w:val="24"/>
                <w:szCs w:val="24"/>
                <w:lang w:val="en-US" w:eastAsia="zh-CN"/>
              </w:rPr>
            </w:pPr>
            <w:r>
              <w:rPr>
                <w:rFonts w:hint="eastAsia" w:ascii="宋体" w:hAnsi="宋体" w:eastAsia="宋体" w:cs="宋体"/>
                <w:bCs/>
                <w:i w:val="0"/>
                <w:iCs w:val="0"/>
                <w:snapToGrid/>
                <w:color w:val="000000"/>
                <w:kern w:val="0"/>
                <w:sz w:val="24"/>
                <w:szCs w:val="24"/>
                <w:lang w:val="en-US" w:eastAsia="zh-CN"/>
              </w:rPr>
              <w:t>业绩</w:t>
            </w:r>
          </w:p>
        </w:tc>
        <w:tc>
          <w:tcPr>
            <w:tcW w:w="7116" w:type="dxa"/>
            <w:tcBorders>
              <w:top w:val="single" w:color="auto" w:sz="4" w:space="0"/>
              <w:left w:val="single" w:color="auto" w:sz="4" w:space="0"/>
              <w:bottom w:val="single" w:color="auto" w:sz="4" w:space="0"/>
              <w:right w:val="single" w:color="auto" w:sz="4" w:space="0"/>
            </w:tcBorders>
            <w:noWrap w:val="0"/>
            <w:vAlign w:val="center"/>
          </w:tcPr>
          <w:p w14:paraId="3538A1C2">
            <w:pPr>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right="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供应商自2022年1月1日至响应文件提交截止时间止（以合同签订时间为准）做过</w:t>
            </w:r>
            <w:r>
              <w:rPr>
                <w:rFonts w:hint="eastAsia" w:ascii="宋体" w:hAnsi="宋体" w:eastAsia="宋体" w:cs="宋体"/>
                <w:b w:val="0"/>
                <w:bCs w:val="0"/>
                <w:color w:val="auto"/>
                <w:kern w:val="2"/>
                <w:sz w:val="24"/>
                <w:szCs w:val="24"/>
                <w:lang w:val="en-US" w:eastAsia="zh-CN"/>
              </w:rPr>
              <w:t>同类</w:t>
            </w:r>
            <w:r>
              <w:rPr>
                <w:rFonts w:hint="eastAsia" w:ascii="宋体" w:hAnsi="宋体" w:eastAsia="宋体" w:cs="宋体"/>
                <w:b w:val="0"/>
                <w:bCs w:val="0"/>
                <w:kern w:val="2"/>
                <w:sz w:val="24"/>
                <w:szCs w:val="24"/>
                <w:lang w:val="en-US" w:eastAsia="zh-CN"/>
              </w:rPr>
              <w:t>业绩（户外文创服务类）的，每提供一份得1分，最高 2分。</w:t>
            </w:r>
          </w:p>
          <w:p w14:paraId="4F97D392">
            <w:pPr>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right="0"/>
              <w:jc w:val="left"/>
              <w:textAlignment w:val="auto"/>
              <w:rPr>
                <w:rFonts w:hint="eastAsia" w:ascii="宋体" w:hAnsi="宋体" w:eastAsia="宋体" w:cs="宋体"/>
                <w:i w:val="0"/>
                <w:iCs w:val="0"/>
                <w:snapToGrid/>
                <w:color w:val="auto"/>
                <w:kern w:val="2"/>
                <w:sz w:val="24"/>
                <w:szCs w:val="24"/>
                <w:lang w:eastAsia="zh-CN"/>
              </w:rPr>
            </w:pPr>
            <w:r>
              <w:rPr>
                <w:rFonts w:hint="eastAsia" w:ascii="宋体" w:hAnsi="宋体" w:eastAsia="宋体" w:cs="宋体"/>
                <w:b/>
                <w:bCs/>
                <w:kern w:val="2"/>
                <w:sz w:val="24"/>
                <w:szCs w:val="24"/>
                <w:lang w:val="en-US" w:eastAsia="zh-CN"/>
              </w:rPr>
              <w:t>评审依据：提供案例合同复印件加盖公章，合同应包含能体现服务内容的关键页（封面页、内容页、合同金额页、签订时间页、盖章页）。</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7C3DB6E4">
            <w:pPr>
              <w:keepNext w:val="0"/>
              <w:keepLines w:val="0"/>
              <w:pageBreakBefore w:val="0"/>
              <w:kinsoku/>
              <w:wordWrap/>
              <w:overflowPunct/>
              <w:topLinePunct w:val="0"/>
              <w:autoSpaceDE/>
              <w:autoSpaceDN/>
              <w:bidi w:val="0"/>
              <w:spacing w:after="0" w:line="440" w:lineRule="exact"/>
              <w:ind w:right="0" w:firstLine="0" w:firstLineChars="0"/>
              <w:jc w:val="center"/>
              <w:textAlignment w:val="auto"/>
              <w:rPr>
                <w:rFonts w:hint="eastAsia" w:ascii="宋体" w:hAnsi="宋体" w:eastAsia="宋体" w:cs="宋体"/>
                <w:bCs/>
                <w:i w:val="0"/>
                <w:iCs w:val="0"/>
                <w:snapToGrid/>
                <w:color w:val="000000"/>
                <w:kern w:val="0"/>
                <w:sz w:val="24"/>
                <w:szCs w:val="24"/>
                <w:lang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分</w:t>
            </w:r>
          </w:p>
        </w:tc>
      </w:tr>
      <w:tr w14:paraId="393A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21" w:type="dxa"/>
            <w:tcBorders>
              <w:top w:val="single" w:color="auto" w:sz="4" w:space="0"/>
              <w:left w:val="single" w:color="auto" w:sz="4" w:space="0"/>
              <w:bottom w:val="single" w:color="auto" w:sz="4" w:space="0"/>
              <w:right w:val="single" w:color="auto" w:sz="4" w:space="0"/>
            </w:tcBorders>
            <w:noWrap w:val="0"/>
            <w:vAlign w:val="center"/>
          </w:tcPr>
          <w:p w14:paraId="0AE8A957">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bCs/>
                <w:i w:val="0"/>
                <w:iCs w:val="0"/>
                <w:snapToGrid/>
                <w:color w:val="000000"/>
                <w:kern w:val="0"/>
                <w:sz w:val="24"/>
                <w:szCs w:val="24"/>
                <w:lang w:val="en-US" w:eastAsia="zh-CN"/>
              </w:rPr>
            </w:pPr>
            <w:r>
              <w:rPr>
                <w:rFonts w:hint="eastAsia" w:ascii="宋体" w:hAnsi="宋体" w:eastAsia="宋体" w:cs="宋体"/>
                <w:bCs/>
                <w:i w:val="0"/>
                <w:iCs w:val="0"/>
                <w:snapToGrid/>
                <w:color w:val="000000"/>
                <w:kern w:val="0"/>
                <w:sz w:val="24"/>
                <w:szCs w:val="24"/>
                <w:lang w:val="en-US" w:eastAsia="zh-CN"/>
              </w:rPr>
              <w:t>项目实施团队</w:t>
            </w:r>
          </w:p>
        </w:tc>
        <w:tc>
          <w:tcPr>
            <w:tcW w:w="7116" w:type="dxa"/>
            <w:tcBorders>
              <w:top w:val="single" w:color="auto" w:sz="4" w:space="0"/>
              <w:left w:val="single" w:color="auto" w:sz="4" w:space="0"/>
              <w:bottom w:val="single" w:color="auto" w:sz="4" w:space="0"/>
              <w:right w:val="single" w:color="auto" w:sz="4" w:space="0"/>
            </w:tcBorders>
            <w:noWrap w:val="0"/>
            <w:vAlign w:val="center"/>
          </w:tcPr>
          <w:p w14:paraId="30F80A7F">
            <w:pPr>
              <w:keepNext w:val="0"/>
              <w:keepLines w:val="0"/>
              <w:pageBreakBefore w:val="0"/>
              <w:widowControl w:val="0"/>
              <w:numPr>
                <w:ilvl w:val="0"/>
                <w:numId w:val="4"/>
              </w:numPr>
              <w:kinsoku/>
              <w:wordWrap/>
              <w:overflowPunct/>
              <w:topLinePunct w:val="0"/>
              <w:autoSpaceDE/>
              <w:autoSpaceDN/>
              <w:bidi w:val="0"/>
              <w:adjustRightInd/>
              <w:snapToGrid/>
              <w:spacing w:beforeAutospacing="0" w:after="0" w:afterAutospacing="0" w:line="440" w:lineRule="exact"/>
              <w:ind w:right="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拟派项目设计人员</w:t>
            </w:r>
            <w:r>
              <w:rPr>
                <w:rFonts w:hint="eastAsia" w:ascii="宋体" w:hAnsi="宋体" w:eastAsia="宋体" w:cs="宋体"/>
                <w:b w:val="0"/>
                <w:bCs w:val="0"/>
                <w:color w:val="auto"/>
                <w:kern w:val="2"/>
                <w:sz w:val="24"/>
                <w:szCs w:val="24"/>
                <w:lang w:val="en-US" w:eastAsia="zh-CN"/>
              </w:rPr>
              <w:t>具有广告设计师证证书的</w:t>
            </w:r>
            <w:r>
              <w:rPr>
                <w:rFonts w:hint="eastAsia" w:ascii="宋体" w:hAnsi="宋体" w:eastAsia="宋体" w:cs="宋体"/>
                <w:b w:val="0"/>
                <w:bCs w:val="0"/>
                <w:kern w:val="2"/>
                <w:sz w:val="24"/>
                <w:szCs w:val="24"/>
                <w:lang w:val="en-US" w:eastAsia="zh-CN"/>
              </w:rPr>
              <w:t>，得1分。</w:t>
            </w:r>
          </w:p>
          <w:p w14:paraId="48237EDD">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440" w:lineRule="exact"/>
              <w:ind w:right="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bCs/>
                <w:kern w:val="2"/>
                <w:sz w:val="24"/>
                <w:szCs w:val="24"/>
                <w:lang w:val="en-US" w:eastAsia="zh-CN"/>
              </w:rPr>
              <w:t>评审依据：提供以上人员姓名、电话、相关证书复印件及响应文件提交截止时间前六个月任意一个月供应商为其缴纳社保的证明材料加盖供应商公章。</w:t>
            </w:r>
          </w:p>
          <w:p w14:paraId="7EE2414B">
            <w:pPr>
              <w:keepNext w:val="0"/>
              <w:keepLines w:val="0"/>
              <w:pageBreakBefore w:val="0"/>
              <w:widowControl w:val="0"/>
              <w:numPr>
                <w:ilvl w:val="0"/>
                <w:numId w:val="4"/>
              </w:numPr>
              <w:kinsoku/>
              <w:wordWrap/>
              <w:overflowPunct/>
              <w:topLinePunct w:val="0"/>
              <w:autoSpaceDE/>
              <w:autoSpaceDN/>
              <w:bidi w:val="0"/>
              <w:adjustRightInd/>
              <w:snapToGrid/>
              <w:spacing w:beforeAutospacing="0" w:after="0" w:afterAutospacing="0" w:line="440" w:lineRule="exact"/>
              <w:ind w:left="0" w:leftChars="0" w:right="0" w:firstLine="0" w:firstLineChars="0"/>
              <w:jc w:val="left"/>
              <w:textAlignment w:val="auto"/>
              <w:rPr>
                <w:rFonts w:hint="eastAsia" w:ascii="宋体" w:hAnsi="宋体" w:eastAsia="宋体" w:cs="宋体"/>
                <w:b w:val="0"/>
                <w:bCs w:val="0"/>
                <w:color w:val="auto"/>
                <w:kern w:val="2"/>
                <w:sz w:val="24"/>
                <w:szCs w:val="24"/>
                <w:lang w:val="en-US" w:eastAsia="zh-CN"/>
              </w:rPr>
            </w:pPr>
            <w:r>
              <w:rPr>
                <w:rFonts w:hint="eastAsia" w:ascii="宋体" w:hAnsi="宋体" w:eastAsia="宋体" w:cs="宋体"/>
                <w:b w:val="0"/>
                <w:bCs w:val="0"/>
                <w:kern w:val="2"/>
                <w:sz w:val="24"/>
                <w:szCs w:val="24"/>
                <w:lang w:val="en-US" w:eastAsia="zh-CN"/>
              </w:rPr>
              <w:t>在满足采购需求前提下，拟派本项目的团队人员每增加1名焊工</w:t>
            </w:r>
            <w:r>
              <w:rPr>
                <w:rFonts w:hint="eastAsia" w:ascii="宋体" w:hAnsi="宋体" w:eastAsia="宋体" w:cs="宋体"/>
                <w:b w:val="0"/>
                <w:bCs w:val="0"/>
                <w:color w:val="auto"/>
                <w:kern w:val="2"/>
                <w:sz w:val="24"/>
                <w:szCs w:val="24"/>
                <w:lang w:val="en-US" w:eastAsia="zh-CN"/>
              </w:rPr>
              <w:t>的（须具备焊工证证书），得1分，最高得2分。</w:t>
            </w:r>
          </w:p>
          <w:p w14:paraId="0EBB61E7">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440" w:lineRule="exact"/>
              <w:ind w:right="0"/>
              <w:jc w:val="left"/>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评审依据：提供以上人员姓名、电话、相关证书复印件及响应文件提交截止时间前六个月任意一个月供应商为其缴纳社保的证明材料加盖供应商公章。</w:t>
            </w:r>
          </w:p>
          <w:p w14:paraId="44247A6F">
            <w:pPr>
              <w:pStyle w:val="39"/>
              <w:keepNext w:val="0"/>
              <w:keepLines w:val="0"/>
              <w:pageBreakBefore w:val="0"/>
              <w:widowControl w:val="0"/>
              <w:numPr>
                <w:ilvl w:val="0"/>
                <w:numId w:val="4"/>
              </w:numPr>
              <w:kinsoku/>
              <w:wordWrap/>
              <w:overflowPunct/>
              <w:topLinePunct w:val="0"/>
              <w:autoSpaceDE/>
              <w:autoSpaceDN/>
              <w:bidi w:val="0"/>
              <w:adjustRightInd/>
              <w:snapToGrid/>
              <w:spacing w:beforeAutospacing="0" w:after="0" w:afterAutospacing="0" w:line="440" w:lineRule="exact"/>
              <w:ind w:left="0" w:leftChars="0" w:right="0" w:rightChars="0" w:firstLine="0" w:firstLineChars="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拟派项目团队人员中有展览策划师证书得1分，有艺术创意设计师证书得1分，有展览展示项目经理证书得1分，本项最高得3分。</w:t>
            </w:r>
          </w:p>
          <w:p w14:paraId="159BB4E1">
            <w:pPr>
              <w:pStyle w:val="39"/>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440" w:lineRule="exact"/>
              <w:ind w:leftChars="0" w:right="0" w:righ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bidi="ar-SA"/>
              </w:rPr>
              <w:t>（注：同一人不重复得分）</w:t>
            </w:r>
          </w:p>
          <w:p w14:paraId="378FACD5">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440" w:lineRule="exact"/>
              <w:ind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kern w:val="2"/>
                <w:sz w:val="24"/>
                <w:szCs w:val="24"/>
                <w:lang w:val="en-US" w:eastAsia="zh-CN"/>
              </w:rPr>
              <w:t>评审依据：提供以上人员姓名、电话、相关证书复印件及响应文件提交截止时间前六个月任意一个月供应商为其缴纳社保的证明材料加盖供应商公章。</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5A5217C5">
            <w:pPr>
              <w:keepNext w:val="0"/>
              <w:keepLines w:val="0"/>
              <w:pageBreakBefore w:val="0"/>
              <w:kinsoku/>
              <w:wordWrap/>
              <w:overflowPunct/>
              <w:topLinePunct w:val="0"/>
              <w:autoSpaceDE/>
              <w:autoSpaceDN/>
              <w:bidi w:val="0"/>
              <w:spacing w:after="0" w:line="440" w:lineRule="exact"/>
              <w:ind w:right="0" w:firstLine="0" w:firstLineChars="0"/>
              <w:jc w:val="center"/>
              <w:textAlignment w:val="auto"/>
              <w:rPr>
                <w:rFonts w:hint="eastAsia" w:ascii="宋体" w:hAnsi="宋体" w:eastAsia="宋体" w:cs="宋体"/>
                <w:bCs/>
                <w:i w:val="0"/>
                <w:iCs w:val="0"/>
                <w:snapToGrid/>
                <w:color w:val="FF0000"/>
                <w:kern w:val="0"/>
                <w:sz w:val="24"/>
                <w:szCs w:val="24"/>
                <w:lang w:val="en-US" w:eastAsia="zh-CN"/>
              </w:rPr>
            </w:pPr>
            <w:r>
              <w:rPr>
                <w:rFonts w:hint="eastAsia" w:ascii="宋体" w:hAnsi="宋体" w:eastAsia="宋体" w:cs="宋体"/>
                <w:b w:val="0"/>
                <w:bCs w:val="0"/>
                <w:sz w:val="24"/>
                <w:szCs w:val="24"/>
                <w:lang w:val="en-US" w:eastAsia="zh-CN"/>
              </w:rPr>
              <w:t>6分</w:t>
            </w:r>
          </w:p>
        </w:tc>
      </w:tr>
      <w:tr w14:paraId="16AC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21" w:type="dxa"/>
            <w:tcBorders>
              <w:top w:val="single" w:color="auto" w:sz="4" w:space="0"/>
              <w:left w:val="single" w:color="auto" w:sz="4" w:space="0"/>
              <w:bottom w:val="single" w:color="auto" w:sz="4" w:space="0"/>
              <w:right w:val="single" w:color="auto" w:sz="4" w:space="0"/>
            </w:tcBorders>
            <w:noWrap w:val="0"/>
            <w:vAlign w:val="center"/>
          </w:tcPr>
          <w:p w14:paraId="2D3F3AB0">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bCs/>
                <w:i w:val="0"/>
                <w:iCs w:val="0"/>
                <w:snapToGrid/>
                <w:color w:val="000000"/>
                <w:kern w:val="0"/>
                <w:sz w:val="24"/>
                <w:szCs w:val="24"/>
                <w:lang w:val="en-US" w:eastAsia="zh-CN"/>
              </w:rPr>
            </w:pPr>
            <w:r>
              <w:rPr>
                <w:rFonts w:hint="eastAsia" w:ascii="宋体" w:hAnsi="宋体" w:eastAsia="宋体" w:cs="宋体"/>
                <w:bCs/>
                <w:i w:val="0"/>
                <w:iCs w:val="0"/>
                <w:snapToGrid/>
                <w:color w:val="000000"/>
                <w:kern w:val="0"/>
                <w:sz w:val="24"/>
                <w:szCs w:val="24"/>
                <w:lang w:val="en-US" w:eastAsia="zh-CN"/>
              </w:rPr>
              <w:t>工期</w:t>
            </w:r>
          </w:p>
        </w:tc>
        <w:tc>
          <w:tcPr>
            <w:tcW w:w="7116" w:type="dxa"/>
            <w:tcBorders>
              <w:top w:val="single" w:color="auto" w:sz="4" w:space="0"/>
              <w:left w:val="single" w:color="auto" w:sz="4" w:space="0"/>
              <w:bottom w:val="single" w:color="auto" w:sz="4" w:space="0"/>
              <w:right w:val="single" w:color="auto" w:sz="4" w:space="0"/>
            </w:tcBorders>
            <w:noWrap w:val="0"/>
            <w:vAlign w:val="center"/>
          </w:tcPr>
          <w:p w14:paraId="45A8C355">
            <w:pPr>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right="0"/>
              <w:jc w:val="left"/>
              <w:textAlignment w:val="auto"/>
              <w:rPr>
                <w:rFonts w:hint="eastAsia" w:ascii="宋体" w:hAnsi="宋体" w:eastAsia="宋体" w:cs="宋体"/>
                <w:b w:val="0"/>
                <w:bCs/>
                <w:sz w:val="24"/>
                <w:szCs w:val="24"/>
                <w:lang w:val="en-US" w:eastAsia="zh-CN" w:bidi="zh-CN"/>
              </w:rPr>
            </w:pPr>
            <w:r>
              <w:rPr>
                <w:rFonts w:hint="eastAsia" w:ascii="宋体" w:hAnsi="宋体" w:eastAsia="宋体" w:cs="宋体"/>
                <w:b w:val="0"/>
                <w:bCs/>
                <w:sz w:val="24"/>
                <w:szCs w:val="24"/>
                <w:lang w:val="en-US" w:eastAsia="zh-CN" w:bidi="zh-CN"/>
              </w:rPr>
              <w:t>供应商承诺按约定服务履约期每提前3天完成服务的加2分，最高得4分，不承诺不加分。</w:t>
            </w:r>
          </w:p>
          <w:p w14:paraId="4EB3D942">
            <w:pPr>
              <w:pStyle w:val="19"/>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b/>
                <w:bCs/>
                <w:color w:val="auto"/>
                <w:sz w:val="24"/>
                <w:szCs w:val="24"/>
                <w:highlight w:val="none"/>
              </w:rPr>
            </w:pPr>
            <w:r>
              <w:rPr>
                <w:rFonts w:hint="eastAsia" w:ascii="宋体" w:hAnsi="宋体" w:eastAsia="宋体" w:cs="宋体"/>
                <w:b/>
                <w:bCs/>
                <w:kern w:val="2"/>
                <w:sz w:val="24"/>
                <w:szCs w:val="24"/>
                <w:lang w:val="en-US" w:eastAsia="zh-CN"/>
              </w:rPr>
              <w:t>评审依据：提供承诺函复印件加盖供应商公章。</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4D796CB4">
            <w:pPr>
              <w:pStyle w:val="39"/>
              <w:keepNext w:val="0"/>
              <w:keepLines w:val="0"/>
              <w:pageBreakBefore w:val="0"/>
              <w:kinsoku/>
              <w:wordWrap/>
              <w:overflowPunct/>
              <w:topLinePunct w:val="0"/>
              <w:autoSpaceDE/>
              <w:autoSpaceDN/>
              <w:bidi w:val="0"/>
              <w:spacing w:line="440" w:lineRule="exact"/>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pacing w:val="-47"/>
                <w:sz w:val="24"/>
                <w:szCs w:val="24"/>
                <w:lang w:val="en-US" w:eastAsia="zh-CN"/>
              </w:rPr>
              <w:t>4分</w:t>
            </w:r>
          </w:p>
        </w:tc>
      </w:tr>
      <w:tr w14:paraId="6F6F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21" w:type="dxa"/>
            <w:tcBorders>
              <w:top w:val="single" w:color="auto" w:sz="4" w:space="0"/>
              <w:left w:val="single" w:color="auto" w:sz="4" w:space="0"/>
              <w:bottom w:val="single" w:color="auto" w:sz="4" w:space="0"/>
              <w:right w:val="single" w:color="auto" w:sz="4" w:space="0"/>
            </w:tcBorders>
            <w:noWrap w:val="0"/>
            <w:vAlign w:val="center"/>
          </w:tcPr>
          <w:p w14:paraId="4E8025F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bCs/>
                <w:i w:val="0"/>
                <w:iCs w:val="0"/>
                <w:snapToGrid/>
                <w:color w:val="000000"/>
                <w:kern w:val="0"/>
                <w:sz w:val="24"/>
                <w:szCs w:val="24"/>
                <w:lang w:val="en-US" w:eastAsia="zh-CN"/>
              </w:rPr>
            </w:pPr>
            <w:r>
              <w:rPr>
                <w:rFonts w:hint="eastAsia" w:ascii="宋体" w:hAnsi="宋体" w:eastAsia="宋体" w:cs="宋体"/>
                <w:bCs/>
                <w:i w:val="0"/>
                <w:iCs w:val="0"/>
                <w:snapToGrid/>
                <w:color w:val="000000"/>
                <w:kern w:val="0"/>
                <w:sz w:val="24"/>
                <w:szCs w:val="24"/>
                <w:lang w:val="en-US" w:eastAsia="zh-CN"/>
              </w:rPr>
              <w:t>售后服务延长承诺</w:t>
            </w:r>
          </w:p>
        </w:tc>
        <w:tc>
          <w:tcPr>
            <w:tcW w:w="7116" w:type="dxa"/>
            <w:tcBorders>
              <w:top w:val="single" w:color="auto" w:sz="4" w:space="0"/>
              <w:left w:val="single" w:color="auto" w:sz="4" w:space="0"/>
              <w:bottom w:val="single" w:color="auto" w:sz="4" w:space="0"/>
              <w:right w:val="single" w:color="auto" w:sz="4" w:space="0"/>
            </w:tcBorders>
            <w:noWrap w:val="0"/>
            <w:vAlign w:val="center"/>
          </w:tcPr>
          <w:p w14:paraId="133CD343">
            <w:pPr>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right="0"/>
              <w:jc w:val="left"/>
              <w:textAlignment w:val="auto"/>
              <w:rPr>
                <w:rFonts w:hint="eastAsia" w:ascii="宋体" w:hAnsi="宋体" w:eastAsia="宋体" w:cs="宋体"/>
                <w:b/>
                <w:bCs/>
                <w:strike/>
                <w:color w:val="auto"/>
                <w:kern w:val="2"/>
                <w:sz w:val="24"/>
                <w:szCs w:val="24"/>
                <w:lang w:val="en-US" w:eastAsia="zh-CN"/>
              </w:rPr>
            </w:pPr>
            <w:r>
              <w:rPr>
                <w:rFonts w:hint="eastAsia" w:ascii="宋体" w:hAnsi="宋体" w:eastAsia="宋体" w:cs="宋体"/>
                <w:color w:val="auto"/>
                <w:kern w:val="2"/>
                <w:sz w:val="24"/>
                <w:szCs w:val="24"/>
                <w:lang w:val="en-US" w:eastAsia="zh-CN"/>
              </w:rPr>
              <w:t>在满足商务要求售后服务期12个月的基础上，每增加12个月得2分，最高得4分。</w:t>
            </w:r>
          </w:p>
          <w:p w14:paraId="30770AFB">
            <w:pPr>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kern w:val="2"/>
                <w:sz w:val="24"/>
                <w:szCs w:val="24"/>
                <w:lang w:val="en-US" w:eastAsia="zh-CN"/>
              </w:rPr>
              <w:t>评审依据：提供承诺函复印件加盖供应商公章。</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4C8943FE">
            <w:pPr>
              <w:pStyle w:val="39"/>
              <w:keepNext w:val="0"/>
              <w:keepLines w:val="0"/>
              <w:pageBreakBefore w:val="0"/>
              <w:kinsoku/>
              <w:wordWrap/>
              <w:overflowPunct/>
              <w:topLinePunct w:val="0"/>
              <w:autoSpaceDE/>
              <w:autoSpaceDN/>
              <w:bidi w:val="0"/>
              <w:spacing w:line="440" w:lineRule="exact"/>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pacing w:val="-47"/>
                <w:sz w:val="24"/>
                <w:szCs w:val="24"/>
                <w:lang w:val="en-US" w:eastAsia="zh-CN"/>
              </w:rPr>
              <w:t>4分</w:t>
            </w:r>
          </w:p>
        </w:tc>
      </w:tr>
    </w:tbl>
    <w:p w14:paraId="5ABB8FCA">
      <w:pPr>
        <w:tabs>
          <w:tab w:val="left" w:pos="284"/>
          <w:tab w:val="left" w:pos="993"/>
        </w:tabs>
        <w:spacing w:line="460" w:lineRule="exact"/>
        <w:rPr>
          <w:rFonts w:hint="eastAsia" w:ascii="宋体" w:hAnsi="宋体" w:cs="宋体"/>
          <w:b/>
          <w:bCs/>
          <w:sz w:val="24"/>
          <w:szCs w:val="24"/>
          <w:highlight w:val="none"/>
        </w:rPr>
      </w:pPr>
    </w:p>
    <w:p w14:paraId="68485802">
      <w:pPr>
        <w:widowControl w:val="0"/>
        <w:spacing w:line="460" w:lineRule="exact"/>
        <w:rPr>
          <w:rFonts w:ascii="宋体" w:hAnsi="宋体"/>
          <w:b w:val="0"/>
          <w:bCs w:val="0"/>
          <w:lang w:eastAsia="zh-CN"/>
        </w:rPr>
      </w:pPr>
    </w:p>
    <w:sectPr>
      <w:headerReference r:id="rId3" w:type="default"/>
      <w:footerReference r:id="rId4" w:type="default"/>
      <w:pgSz w:w="11906" w:h="16839"/>
      <w:pgMar w:top="1234" w:right="1304" w:bottom="1156" w:left="1307" w:header="0" w:footer="99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7419511-BD9C-4BD1-96F5-5C12F548816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457E7B8A-1A13-4AFF-9236-11C5898A36DA}"/>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D5B74">
    <w:pPr>
      <w:pStyle w:val="15"/>
      <w:rPr>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-47625</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1056A71">
                          <w:pPr>
                            <w:pStyle w:val="15"/>
                          </w:pPr>
                          <w:r>
                            <w:fldChar w:fldCharType="begin"/>
                          </w:r>
                          <w:r>
                            <w:instrText xml:space="preserve"> PAGE  \* MERGEFORMAT </w:instrText>
                          </w:r>
                          <w:r>
                            <w:fldChar w:fldCharType="separate"/>
                          </w:r>
                          <w:r>
                            <w:t>55</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3.75pt;height:144pt;width:144pt;mso-position-horizontal:center;mso-position-horizontal-relative:margin;mso-wrap-style:none;z-index:251659264;mso-width-relative:page;mso-height-relative:page;" filled="f" stroked="f" coordsize="21600,21600" o:gfxdata="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&#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dL+M31AAAAAcBAAAPAAAAAAAAAAEAIAAAACIAAABk&#10;cnMvZG93bnJldi54bWxQSwECFAAUAAAACACHTuJAoOeOb9EBAACiAwAADgAAAAAAAAABACAAAAAj&#10;AQAAZHJzL2Uyb0RvYy54bWxQSwUGAAAAAAYABgBZAQAAZgUAAAAA&#10;">
              <v:fill on="f" focussize="0,0"/>
              <v:stroke on="f" weight="0.5pt"/>
              <v:imagedata o:title=""/>
              <o:lock v:ext="edit" aspectratio="f"/>
              <v:textbox inset="0mm,0mm,0mm,0mm" style="mso-fit-shape-to-text:t;">
                <w:txbxContent>
                  <w:p w14:paraId="21056A71">
                    <w:pPr>
                      <w:pStyle w:val="1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C8B5F">
    <w:pPr>
      <w:pStyle w:val="16"/>
      <w:pBdr>
        <w:bottom w:val="none" w:color="auto" w:sz="0" w:space="3"/>
      </w:pBdr>
      <w:spacing w:line="360" w:lineRule="atLeas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13CC05"/>
    <w:multiLevelType w:val="singleLevel"/>
    <w:tmpl w:val="FF13CC05"/>
    <w:lvl w:ilvl="0" w:tentative="0">
      <w:start w:val="1"/>
      <w:numFmt w:val="decimal"/>
      <w:suff w:val="nothing"/>
      <w:lvlText w:val="(%1)"/>
      <w:lvlJc w:val="left"/>
      <w:pPr>
        <w:ind w:left="845" w:hanging="425"/>
      </w:pPr>
      <w:rPr>
        <w:rFonts w:hint="default"/>
      </w:rPr>
    </w:lvl>
  </w:abstractNum>
  <w:abstractNum w:abstractNumId="1">
    <w:nsid w:val="00000001"/>
    <w:multiLevelType w:val="singleLevel"/>
    <w:tmpl w:val="00000001"/>
    <w:lvl w:ilvl="0" w:tentative="0">
      <w:start w:val="2"/>
      <w:numFmt w:val="decimal"/>
      <w:lvlText w:val="%1."/>
      <w:lvlJc w:val="left"/>
      <w:pPr>
        <w:tabs>
          <w:tab w:val="left" w:pos="312"/>
        </w:tabs>
      </w:pPr>
    </w:lvl>
  </w:abstractNum>
  <w:abstractNum w:abstractNumId="2">
    <w:nsid w:val="00000004"/>
    <w:multiLevelType w:val="singleLevel"/>
    <w:tmpl w:val="00000004"/>
    <w:lvl w:ilvl="0" w:tentative="0">
      <w:start w:val="2"/>
      <w:numFmt w:val="decimal"/>
      <w:lvlText w:val="%1."/>
      <w:lvlJc w:val="left"/>
      <w:pPr>
        <w:tabs>
          <w:tab w:val="left" w:pos="312"/>
        </w:tabs>
      </w:pPr>
    </w:lvl>
  </w:abstractNum>
  <w:abstractNum w:abstractNumId="3">
    <w:nsid w:val="00000005"/>
    <w:multiLevelType w:val="singleLevel"/>
    <w:tmpl w:val="00000005"/>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2"/>
  <w:displayHorizontalDrawingGridEvery w:val="0"/>
  <w:displayVerticalDrawingGridEvery w:val="2"/>
  <w:characterSpacingControl w:val="doNotCompres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MDg0MjVjY2E5NDFiN2QyZDQ2OWQzODFmOGI4YzMifQ=="/>
  </w:docVars>
  <w:rsids>
    <w:rsidRoot w:val="00F72BE7"/>
    <w:rsid w:val="001A2968"/>
    <w:rsid w:val="002E00F2"/>
    <w:rsid w:val="0031198B"/>
    <w:rsid w:val="00412A37"/>
    <w:rsid w:val="006308AB"/>
    <w:rsid w:val="00847DE1"/>
    <w:rsid w:val="008A4B90"/>
    <w:rsid w:val="00B54D17"/>
    <w:rsid w:val="00CD47AB"/>
    <w:rsid w:val="00D4409B"/>
    <w:rsid w:val="00D6521D"/>
    <w:rsid w:val="00E0031B"/>
    <w:rsid w:val="00F72BE7"/>
    <w:rsid w:val="0137560B"/>
    <w:rsid w:val="013D404E"/>
    <w:rsid w:val="014707D5"/>
    <w:rsid w:val="01490617"/>
    <w:rsid w:val="0183453D"/>
    <w:rsid w:val="01D91333"/>
    <w:rsid w:val="01F176F8"/>
    <w:rsid w:val="01F62F61"/>
    <w:rsid w:val="0217465E"/>
    <w:rsid w:val="02AE5C3D"/>
    <w:rsid w:val="02C95F7F"/>
    <w:rsid w:val="02F62DEB"/>
    <w:rsid w:val="030845DC"/>
    <w:rsid w:val="03A14F29"/>
    <w:rsid w:val="03E74BAA"/>
    <w:rsid w:val="044D1E30"/>
    <w:rsid w:val="049525BD"/>
    <w:rsid w:val="049D76C3"/>
    <w:rsid w:val="04A507BC"/>
    <w:rsid w:val="04AC06B1"/>
    <w:rsid w:val="04C87536"/>
    <w:rsid w:val="04C95300"/>
    <w:rsid w:val="04F64D19"/>
    <w:rsid w:val="052B325D"/>
    <w:rsid w:val="056B197B"/>
    <w:rsid w:val="05A000F0"/>
    <w:rsid w:val="05F07017"/>
    <w:rsid w:val="060317A8"/>
    <w:rsid w:val="06147E59"/>
    <w:rsid w:val="062D088E"/>
    <w:rsid w:val="067A5F0E"/>
    <w:rsid w:val="071D689A"/>
    <w:rsid w:val="074107DA"/>
    <w:rsid w:val="076566A7"/>
    <w:rsid w:val="0768220B"/>
    <w:rsid w:val="079A2F4B"/>
    <w:rsid w:val="07B64740"/>
    <w:rsid w:val="081F5E69"/>
    <w:rsid w:val="082E25CB"/>
    <w:rsid w:val="08D11B99"/>
    <w:rsid w:val="08D800EA"/>
    <w:rsid w:val="08D86F1C"/>
    <w:rsid w:val="09214A58"/>
    <w:rsid w:val="092403B3"/>
    <w:rsid w:val="093F51ED"/>
    <w:rsid w:val="094B7F45"/>
    <w:rsid w:val="098C4275"/>
    <w:rsid w:val="099A0675"/>
    <w:rsid w:val="099C2AD0"/>
    <w:rsid w:val="09C672E8"/>
    <w:rsid w:val="09F77876"/>
    <w:rsid w:val="0A5474C3"/>
    <w:rsid w:val="0A5F7AD5"/>
    <w:rsid w:val="0A630BD7"/>
    <w:rsid w:val="0A880415"/>
    <w:rsid w:val="0AAA50E9"/>
    <w:rsid w:val="0ABB6AF5"/>
    <w:rsid w:val="0ACA7865"/>
    <w:rsid w:val="0AFB3396"/>
    <w:rsid w:val="0B6941DA"/>
    <w:rsid w:val="0BA53A2D"/>
    <w:rsid w:val="0BCE5A19"/>
    <w:rsid w:val="0BD25EA5"/>
    <w:rsid w:val="0C027923"/>
    <w:rsid w:val="0C1E16F8"/>
    <w:rsid w:val="0CEA5470"/>
    <w:rsid w:val="0D3B1B72"/>
    <w:rsid w:val="0DB63714"/>
    <w:rsid w:val="0DBF7C0D"/>
    <w:rsid w:val="0DD264ED"/>
    <w:rsid w:val="0DD809E2"/>
    <w:rsid w:val="0E045967"/>
    <w:rsid w:val="0E056A05"/>
    <w:rsid w:val="0E093118"/>
    <w:rsid w:val="0E306947"/>
    <w:rsid w:val="0E697416"/>
    <w:rsid w:val="0E7019A5"/>
    <w:rsid w:val="0EB53971"/>
    <w:rsid w:val="0F8346BB"/>
    <w:rsid w:val="0FAD17DF"/>
    <w:rsid w:val="104737B6"/>
    <w:rsid w:val="107F306E"/>
    <w:rsid w:val="10D80401"/>
    <w:rsid w:val="114948FA"/>
    <w:rsid w:val="11515ABE"/>
    <w:rsid w:val="115E6BEF"/>
    <w:rsid w:val="11D81D3B"/>
    <w:rsid w:val="11E54405"/>
    <w:rsid w:val="126757A9"/>
    <w:rsid w:val="1292624E"/>
    <w:rsid w:val="12993BC0"/>
    <w:rsid w:val="129C0FBA"/>
    <w:rsid w:val="12C025AA"/>
    <w:rsid w:val="136046DE"/>
    <w:rsid w:val="13774B73"/>
    <w:rsid w:val="139F6FB4"/>
    <w:rsid w:val="13CB4909"/>
    <w:rsid w:val="143E0B0F"/>
    <w:rsid w:val="143F42F3"/>
    <w:rsid w:val="14B561ED"/>
    <w:rsid w:val="14C53111"/>
    <w:rsid w:val="14F13A81"/>
    <w:rsid w:val="1538599A"/>
    <w:rsid w:val="158B0678"/>
    <w:rsid w:val="158F5E01"/>
    <w:rsid w:val="15916DD0"/>
    <w:rsid w:val="1607158C"/>
    <w:rsid w:val="16A356CC"/>
    <w:rsid w:val="16C93F42"/>
    <w:rsid w:val="16E37DD9"/>
    <w:rsid w:val="1706734A"/>
    <w:rsid w:val="173418E5"/>
    <w:rsid w:val="17342109"/>
    <w:rsid w:val="17D243DD"/>
    <w:rsid w:val="17D60801"/>
    <w:rsid w:val="17E108DF"/>
    <w:rsid w:val="182E6B2B"/>
    <w:rsid w:val="18363C5F"/>
    <w:rsid w:val="186009B5"/>
    <w:rsid w:val="18846779"/>
    <w:rsid w:val="18991B4E"/>
    <w:rsid w:val="18A01635"/>
    <w:rsid w:val="18C97898"/>
    <w:rsid w:val="18E84F59"/>
    <w:rsid w:val="18F643B3"/>
    <w:rsid w:val="19161B44"/>
    <w:rsid w:val="1917122A"/>
    <w:rsid w:val="19241D0A"/>
    <w:rsid w:val="193B777F"/>
    <w:rsid w:val="193E2DCB"/>
    <w:rsid w:val="196206F1"/>
    <w:rsid w:val="196C2926"/>
    <w:rsid w:val="1977026D"/>
    <w:rsid w:val="197F664F"/>
    <w:rsid w:val="19B77BF5"/>
    <w:rsid w:val="19F33BB6"/>
    <w:rsid w:val="19F37E2D"/>
    <w:rsid w:val="1A534654"/>
    <w:rsid w:val="1A551963"/>
    <w:rsid w:val="1ADA6B24"/>
    <w:rsid w:val="1AF44F33"/>
    <w:rsid w:val="1B0E67CD"/>
    <w:rsid w:val="1B2873F8"/>
    <w:rsid w:val="1B28788F"/>
    <w:rsid w:val="1B4548E5"/>
    <w:rsid w:val="1B610FF3"/>
    <w:rsid w:val="1B702014"/>
    <w:rsid w:val="1BD47A17"/>
    <w:rsid w:val="1C8A6328"/>
    <w:rsid w:val="1CF80317"/>
    <w:rsid w:val="1D085BCA"/>
    <w:rsid w:val="1D0F3839"/>
    <w:rsid w:val="1D74500E"/>
    <w:rsid w:val="1DD65CC8"/>
    <w:rsid w:val="1DD800C0"/>
    <w:rsid w:val="1E43791C"/>
    <w:rsid w:val="1E5310C7"/>
    <w:rsid w:val="1E550743"/>
    <w:rsid w:val="1E830574"/>
    <w:rsid w:val="1EC41FC5"/>
    <w:rsid w:val="1EF26B32"/>
    <w:rsid w:val="1F2952CA"/>
    <w:rsid w:val="1F777037"/>
    <w:rsid w:val="1FA616CA"/>
    <w:rsid w:val="1FAB6CE1"/>
    <w:rsid w:val="1FB24210"/>
    <w:rsid w:val="1FF34AC9"/>
    <w:rsid w:val="206155F1"/>
    <w:rsid w:val="20B54DB2"/>
    <w:rsid w:val="21042B4C"/>
    <w:rsid w:val="213A566A"/>
    <w:rsid w:val="2195298B"/>
    <w:rsid w:val="2198560E"/>
    <w:rsid w:val="21CB3F90"/>
    <w:rsid w:val="21CE72BA"/>
    <w:rsid w:val="21E670F4"/>
    <w:rsid w:val="22072FB3"/>
    <w:rsid w:val="22112B50"/>
    <w:rsid w:val="224433AA"/>
    <w:rsid w:val="224D0523"/>
    <w:rsid w:val="225B2099"/>
    <w:rsid w:val="22702B26"/>
    <w:rsid w:val="22791318"/>
    <w:rsid w:val="22837AA1"/>
    <w:rsid w:val="228A7081"/>
    <w:rsid w:val="229C0C3D"/>
    <w:rsid w:val="22A85555"/>
    <w:rsid w:val="22FD3CF7"/>
    <w:rsid w:val="23056708"/>
    <w:rsid w:val="234D0A23"/>
    <w:rsid w:val="235F406A"/>
    <w:rsid w:val="23746473"/>
    <w:rsid w:val="239A4724"/>
    <w:rsid w:val="23C04A55"/>
    <w:rsid w:val="23C87E61"/>
    <w:rsid w:val="23E21274"/>
    <w:rsid w:val="241412F8"/>
    <w:rsid w:val="242536D0"/>
    <w:rsid w:val="245E4322"/>
    <w:rsid w:val="248144B4"/>
    <w:rsid w:val="24E16D01"/>
    <w:rsid w:val="253B28B5"/>
    <w:rsid w:val="25533D7B"/>
    <w:rsid w:val="25823163"/>
    <w:rsid w:val="25CD7137"/>
    <w:rsid w:val="25E2090D"/>
    <w:rsid w:val="25F37706"/>
    <w:rsid w:val="264D4DAD"/>
    <w:rsid w:val="26BE3321"/>
    <w:rsid w:val="2722776F"/>
    <w:rsid w:val="27255CA7"/>
    <w:rsid w:val="27293DA3"/>
    <w:rsid w:val="27457A1B"/>
    <w:rsid w:val="274B704D"/>
    <w:rsid w:val="2778394C"/>
    <w:rsid w:val="279C2686"/>
    <w:rsid w:val="27CB6172"/>
    <w:rsid w:val="27EF1D1C"/>
    <w:rsid w:val="280660E7"/>
    <w:rsid w:val="2823481F"/>
    <w:rsid w:val="28706D19"/>
    <w:rsid w:val="28A27541"/>
    <w:rsid w:val="28CD1B01"/>
    <w:rsid w:val="28CF7D70"/>
    <w:rsid w:val="28E76302"/>
    <w:rsid w:val="291F3D28"/>
    <w:rsid w:val="29226266"/>
    <w:rsid w:val="2987256D"/>
    <w:rsid w:val="2A071140"/>
    <w:rsid w:val="2AC967C3"/>
    <w:rsid w:val="2AD510B6"/>
    <w:rsid w:val="2AFA0B1C"/>
    <w:rsid w:val="2B0F5B99"/>
    <w:rsid w:val="2B8A1EA0"/>
    <w:rsid w:val="2BDA2720"/>
    <w:rsid w:val="2BE93C1A"/>
    <w:rsid w:val="2C695F59"/>
    <w:rsid w:val="2CA90A4C"/>
    <w:rsid w:val="2CBA0563"/>
    <w:rsid w:val="2CF55C1F"/>
    <w:rsid w:val="2D665E74"/>
    <w:rsid w:val="2D99286E"/>
    <w:rsid w:val="2DAC07F4"/>
    <w:rsid w:val="2DC40922"/>
    <w:rsid w:val="2DF41412"/>
    <w:rsid w:val="2E234DC0"/>
    <w:rsid w:val="2E2B0E5E"/>
    <w:rsid w:val="2E575FCC"/>
    <w:rsid w:val="2E627104"/>
    <w:rsid w:val="2E693B84"/>
    <w:rsid w:val="2EB108A7"/>
    <w:rsid w:val="2EBB11D7"/>
    <w:rsid w:val="2F5F3B7C"/>
    <w:rsid w:val="2F68074A"/>
    <w:rsid w:val="2F7075FF"/>
    <w:rsid w:val="2F786BDD"/>
    <w:rsid w:val="2F902AB5"/>
    <w:rsid w:val="2FB63E0A"/>
    <w:rsid w:val="2FC17E5A"/>
    <w:rsid w:val="2FF975F4"/>
    <w:rsid w:val="30233A33"/>
    <w:rsid w:val="30311392"/>
    <w:rsid w:val="305E1890"/>
    <w:rsid w:val="307C1BEC"/>
    <w:rsid w:val="30A43A04"/>
    <w:rsid w:val="30BA2638"/>
    <w:rsid w:val="30E63872"/>
    <w:rsid w:val="31046251"/>
    <w:rsid w:val="31172EF5"/>
    <w:rsid w:val="31353885"/>
    <w:rsid w:val="314D409C"/>
    <w:rsid w:val="31526CE7"/>
    <w:rsid w:val="316B62D0"/>
    <w:rsid w:val="317D4740"/>
    <w:rsid w:val="318178A1"/>
    <w:rsid w:val="3195334D"/>
    <w:rsid w:val="31AC0DC2"/>
    <w:rsid w:val="31C55E0D"/>
    <w:rsid w:val="31E76326"/>
    <w:rsid w:val="31FE5396"/>
    <w:rsid w:val="321C6AB4"/>
    <w:rsid w:val="3233535A"/>
    <w:rsid w:val="329A3D4F"/>
    <w:rsid w:val="32BE2A91"/>
    <w:rsid w:val="33074498"/>
    <w:rsid w:val="33AE791F"/>
    <w:rsid w:val="33C06DA7"/>
    <w:rsid w:val="33F26834"/>
    <w:rsid w:val="34325184"/>
    <w:rsid w:val="346E1C27"/>
    <w:rsid w:val="34CA2551"/>
    <w:rsid w:val="34DF14AF"/>
    <w:rsid w:val="34F27B67"/>
    <w:rsid w:val="35591BE5"/>
    <w:rsid w:val="359D5DD6"/>
    <w:rsid w:val="36064E50"/>
    <w:rsid w:val="361E1B63"/>
    <w:rsid w:val="362863AF"/>
    <w:rsid w:val="36597105"/>
    <w:rsid w:val="36844F22"/>
    <w:rsid w:val="36CA1CEB"/>
    <w:rsid w:val="36D038F2"/>
    <w:rsid w:val="374B6A13"/>
    <w:rsid w:val="37CC0470"/>
    <w:rsid w:val="389465C2"/>
    <w:rsid w:val="3899102A"/>
    <w:rsid w:val="38FF3ECD"/>
    <w:rsid w:val="390B251F"/>
    <w:rsid w:val="390F7E89"/>
    <w:rsid w:val="39162FC5"/>
    <w:rsid w:val="39225E0E"/>
    <w:rsid w:val="39800A0C"/>
    <w:rsid w:val="39D96E5F"/>
    <w:rsid w:val="39EB4452"/>
    <w:rsid w:val="3A0C3554"/>
    <w:rsid w:val="3A1B5E20"/>
    <w:rsid w:val="3A216CEA"/>
    <w:rsid w:val="3A6B125E"/>
    <w:rsid w:val="3AA924AD"/>
    <w:rsid w:val="3B163B4E"/>
    <w:rsid w:val="3B6D578A"/>
    <w:rsid w:val="3B7E51F7"/>
    <w:rsid w:val="3B8811A4"/>
    <w:rsid w:val="3B9D352A"/>
    <w:rsid w:val="3BAC10D3"/>
    <w:rsid w:val="3BB865B6"/>
    <w:rsid w:val="3BD8303F"/>
    <w:rsid w:val="3C0F220A"/>
    <w:rsid w:val="3C267544"/>
    <w:rsid w:val="3C4D31A2"/>
    <w:rsid w:val="3C5A3D43"/>
    <w:rsid w:val="3C8C6D91"/>
    <w:rsid w:val="3D36354C"/>
    <w:rsid w:val="3D7D7AB7"/>
    <w:rsid w:val="3DB657B3"/>
    <w:rsid w:val="3DB72FC9"/>
    <w:rsid w:val="3DBB413B"/>
    <w:rsid w:val="3DC93A44"/>
    <w:rsid w:val="3DD11BB1"/>
    <w:rsid w:val="3DE051EE"/>
    <w:rsid w:val="3DEB0EC4"/>
    <w:rsid w:val="3DED4811"/>
    <w:rsid w:val="3E1F3CAD"/>
    <w:rsid w:val="3E292C29"/>
    <w:rsid w:val="3E3A7756"/>
    <w:rsid w:val="3E78615B"/>
    <w:rsid w:val="3E8E35FE"/>
    <w:rsid w:val="3E970704"/>
    <w:rsid w:val="3E9854B3"/>
    <w:rsid w:val="3EE37DED"/>
    <w:rsid w:val="3F19434D"/>
    <w:rsid w:val="3F891E69"/>
    <w:rsid w:val="3F9609BC"/>
    <w:rsid w:val="3F984C13"/>
    <w:rsid w:val="40026051"/>
    <w:rsid w:val="401961DF"/>
    <w:rsid w:val="402F15E7"/>
    <w:rsid w:val="40644F5E"/>
    <w:rsid w:val="406E36E7"/>
    <w:rsid w:val="40C907D4"/>
    <w:rsid w:val="40D01E95"/>
    <w:rsid w:val="40D82635"/>
    <w:rsid w:val="41076015"/>
    <w:rsid w:val="411C44F4"/>
    <w:rsid w:val="412755BD"/>
    <w:rsid w:val="414C1C7A"/>
    <w:rsid w:val="415303D5"/>
    <w:rsid w:val="416D1BF0"/>
    <w:rsid w:val="41ED7135"/>
    <w:rsid w:val="422F48A1"/>
    <w:rsid w:val="428E7BE1"/>
    <w:rsid w:val="42B20B36"/>
    <w:rsid w:val="42B87240"/>
    <w:rsid w:val="42C56EC3"/>
    <w:rsid w:val="42CC7312"/>
    <w:rsid w:val="42D31499"/>
    <w:rsid w:val="42FB66C8"/>
    <w:rsid w:val="430F2F5F"/>
    <w:rsid w:val="43192944"/>
    <w:rsid w:val="43394480"/>
    <w:rsid w:val="43404F60"/>
    <w:rsid w:val="434D6BCE"/>
    <w:rsid w:val="43A51B15"/>
    <w:rsid w:val="43C33D49"/>
    <w:rsid w:val="44131BBA"/>
    <w:rsid w:val="447255E6"/>
    <w:rsid w:val="448B4867"/>
    <w:rsid w:val="44A34615"/>
    <w:rsid w:val="44CD7E13"/>
    <w:rsid w:val="44FC5BB9"/>
    <w:rsid w:val="453A628D"/>
    <w:rsid w:val="454B2248"/>
    <w:rsid w:val="4550160D"/>
    <w:rsid w:val="459B4F7E"/>
    <w:rsid w:val="45B61DB8"/>
    <w:rsid w:val="45D2152F"/>
    <w:rsid w:val="45ED441E"/>
    <w:rsid w:val="45EE0F95"/>
    <w:rsid w:val="45F42F70"/>
    <w:rsid w:val="45F85626"/>
    <w:rsid w:val="46080139"/>
    <w:rsid w:val="462273F5"/>
    <w:rsid w:val="464A3A20"/>
    <w:rsid w:val="466556B5"/>
    <w:rsid w:val="46710516"/>
    <w:rsid w:val="4671255E"/>
    <w:rsid w:val="468A4D8B"/>
    <w:rsid w:val="4692195B"/>
    <w:rsid w:val="46E44703"/>
    <w:rsid w:val="470E15D4"/>
    <w:rsid w:val="47234C6F"/>
    <w:rsid w:val="476E0DE5"/>
    <w:rsid w:val="47E36768"/>
    <w:rsid w:val="47F941DE"/>
    <w:rsid w:val="484418FD"/>
    <w:rsid w:val="48643D4D"/>
    <w:rsid w:val="48733C90"/>
    <w:rsid w:val="4879178A"/>
    <w:rsid w:val="487D7E3E"/>
    <w:rsid w:val="48943F06"/>
    <w:rsid w:val="48967192"/>
    <w:rsid w:val="489A6313"/>
    <w:rsid w:val="48A95C04"/>
    <w:rsid w:val="48BB3C9E"/>
    <w:rsid w:val="48CE0A5C"/>
    <w:rsid w:val="48EB4CA0"/>
    <w:rsid w:val="49117305"/>
    <w:rsid w:val="4949445D"/>
    <w:rsid w:val="494E22CA"/>
    <w:rsid w:val="49962931"/>
    <w:rsid w:val="49B51BAE"/>
    <w:rsid w:val="49C7090D"/>
    <w:rsid w:val="4A442B3D"/>
    <w:rsid w:val="4A5E47CC"/>
    <w:rsid w:val="4A7E09CA"/>
    <w:rsid w:val="4A881849"/>
    <w:rsid w:val="4A884CC6"/>
    <w:rsid w:val="4AA52D9C"/>
    <w:rsid w:val="4AA55BC3"/>
    <w:rsid w:val="4ABC7D85"/>
    <w:rsid w:val="4AD827D0"/>
    <w:rsid w:val="4BCD1C09"/>
    <w:rsid w:val="4C201CDE"/>
    <w:rsid w:val="4C254B4B"/>
    <w:rsid w:val="4C455C43"/>
    <w:rsid w:val="4C7B1665"/>
    <w:rsid w:val="4C7C3630"/>
    <w:rsid w:val="4C92075D"/>
    <w:rsid w:val="4CA441C7"/>
    <w:rsid w:val="4CC07F53"/>
    <w:rsid w:val="4CD01739"/>
    <w:rsid w:val="4D07114B"/>
    <w:rsid w:val="4D381CBD"/>
    <w:rsid w:val="4D403EDA"/>
    <w:rsid w:val="4D954046"/>
    <w:rsid w:val="4DC42B98"/>
    <w:rsid w:val="4DF71B22"/>
    <w:rsid w:val="4E0256F8"/>
    <w:rsid w:val="4E202AF3"/>
    <w:rsid w:val="4E29093D"/>
    <w:rsid w:val="4E3628DD"/>
    <w:rsid w:val="4E487C6D"/>
    <w:rsid w:val="4E6D29C4"/>
    <w:rsid w:val="4E9A0D74"/>
    <w:rsid w:val="4EE72FE2"/>
    <w:rsid w:val="4F282F37"/>
    <w:rsid w:val="4F441719"/>
    <w:rsid w:val="4F701691"/>
    <w:rsid w:val="4FAA2095"/>
    <w:rsid w:val="4FC60E49"/>
    <w:rsid w:val="4FF52C71"/>
    <w:rsid w:val="50137E07"/>
    <w:rsid w:val="503A7A08"/>
    <w:rsid w:val="5055041F"/>
    <w:rsid w:val="509A51EA"/>
    <w:rsid w:val="509E3ED1"/>
    <w:rsid w:val="50B138A7"/>
    <w:rsid w:val="50B415EA"/>
    <w:rsid w:val="514E559A"/>
    <w:rsid w:val="51E90E1F"/>
    <w:rsid w:val="51E92988"/>
    <w:rsid w:val="520E62B8"/>
    <w:rsid w:val="52263E21"/>
    <w:rsid w:val="528312E8"/>
    <w:rsid w:val="529A4BA7"/>
    <w:rsid w:val="52B50FFA"/>
    <w:rsid w:val="52BD5F36"/>
    <w:rsid w:val="52DA54E7"/>
    <w:rsid w:val="52E468A6"/>
    <w:rsid w:val="52E8669F"/>
    <w:rsid w:val="531F42E7"/>
    <w:rsid w:val="535E7C92"/>
    <w:rsid w:val="53D6797D"/>
    <w:rsid w:val="53E775E0"/>
    <w:rsid w:val="545D4AE8"/>
    <w:rsid w:val="54BC690A"/>
    <w:rsid w:val="54E12281"/>
    <w:rsid w:val="54FD5330"/>
    <w:rsid w:val="55132EB9"/>
    <w:rsid w:val="553C122E"/>
    <w:rsid w:val="55D61E8E"/>
    <w:rsid w:val="55E101CF"/>
    <w:rsid w:val="55F00828"/>
    <w:rsid w:val="56431446"/>
    <w:rsid w:val="56E5591B"/>
    <w:rsid w:val="57631674"/>
    <w:rsid w:val="576C66C6"/>
    <w:rsid w:val="5794495B"/>
    <w:rsid w:val="57A500D0"/>
    <w:rsid w:val="57BE55F9"/>
    <w:rsid w:val="57C351F2"/>
    <w:rsid w:val="57E11E3C"/>
    <w:rsid w:val="57F347A6"/>
    <w:rsid w:val="57F8000E"/>
    <w:rsid w:val="58532224"/>
    <w:rsid w:val="586236D9"/>
    <w:rsid w:val="586903C5"/>
    <w:rsid w:val="58711142"/>
    <w:rsid w:val="5900361E"/>
    <w:rsid w:val="591A7404"/>
    <w:rsid w:val="59213594"/>
    <w:rsid w:val="593212FE"/>
    <w:rsid w:val="59590F80"/>
    <w:rsid w:val="59954846"/>
    <w:rsid w:val="59967813"/>
    <w:rsid w:val="59A732EE"/>
    <w:rsid w:val="59C3464B"/>
    <w:rsid w:val="59D52770"/>
    <w:rsid w:val="59DE2BBE"/>
    <w:rsid w:val="59ED4668"/>
    <w:rsid w:val="5A296BA4"/>
    <w:rsid w:val="5A3215B5"/>
    <w:rsid w:val="5A410A6F"/>
    <w:rsid w:val="5A997D7B"/>
    <w:rsid w:val="5AD85ED5"/>
    <w:rsid w:val="5AF54CD9"/>
    <w:rsid w:val="5B487A9F"/>
    <w:rsid w:val="5B89006B"/>
    <w:rsid w:val="5B9C33A6"/>
    <w:rsid w:val="5BD668B8"/>
    <w:rsid w:val="5BE34B31"/>
    <w:rsid w:val="5C0F5926"/>
    <w:rsid w:val="5C5B0B6B"/>
    <w:rsid w:val="5C65447A"/>
    <w:rsid w:val="5CBD5A36"/>
    <w:rsid w:val="5CC02D81"/>
    <w:rsid w:val="5CCD039C"/>
    <w:rsid w:val="5CE05C01"/>
    <w:rsid w:val="5D067F46"/>
    <w:rsid w:val="5DEA6484"/>
    <w:rsid w:val="5E2A0506"/>
    <w:rsid w:val="5EA66A16"/>
    <w:rsid w:val="5F003E3C"/>
    <w:rsid w:val="5F5244A8"/>
    <w:rsid w:val="5F595E8D"/>
    <w:rsid w:val="5F8A2976"/>
    <w:rsid w:val="5F8B5C0B"/>
    <w:rsid w:val="5FB9070F"/>
    <w:rsid w:val="5FD56E87"/>
    <w:rsid w:val="5FE039CC"/>
    <w:rsid w:val="60502867"/>
    <w:rsid w:val="60591866"/>
    <w:rsid w:val="606C1599"/>
    <w:rsid w:val="60964868"/>
    <w:rsid w:val="609E76CE"/>
    <w:rsid w:val="60C31E90"/>
    <w:rsid w:val="60CA62C0"/>
    <w:rsid w:val="60D137C0"/>
    <w:rsid w:val="60EE6452"/>
    <w:rsid w:val="60F7080B"/>
    <w:rsid w:val="611C2FBF"/>
    <w:rsid w:val="613D03AF"/>
    <w:rsid w:val="61412A26"/>
    <w:rsid w:val="61986847"/>
    <w:rsid w:val="61C5000F"/>
    <w:rsid w:val="62840C9B"/>
    <w:rsid w:val="62917095"/>
    <w:rsid w:val="62BA0AE5"/>
    <w:rsid w:val="62E95123"/>
    <w:rsid w:val="63312626"/>
    <w:rsid w:val="63616C72"/>
    <w:rsid w:val="63753EA0"/>
    <w:rsid w:val="63923347"/>
    <w:rsid w:val="63A60D41"/>
    <w:rsid w:val="63C45248"/>
    <w:rsid w:val="63C6035F"/>
    <w:rsid w:val="63EF1280"/>
    <w:rsid w:val="63F67AE4"/>
    <w:rsid w:val="647318B3"/>
    <w:rsid w:val="649A1D1D"/>
    <w:rsid w:val="64E04304"/>
    <w:rsid w:val="64E30040"/>
    <w:rsid w:val="64EC4A56"/>
    <w:rsid w:val="659B691E"/>
    <w:rsid w:val="65B23DC5"/>
    <w:rsid w:val="65D242C5"/>
    <w:rsid w:val="65E75AA3"/>
    <w:rsid w:val="65F10142"/>
    <w:rsid w:val="66124991"/>
    <w:rsid w:val="66372A2B"/>
    <w:rsid w:val="66770C98"/>
    <w:rsid w:val="669E4476"/>
    <w:rsid w:val="66E10C4D"/>
    <w:rsid w:val="66EA5584"/>
    <w:rsid w:val="67FD069B"/>
    <w:rsid w:val="68502200"/>
    <w:rsid w:val="685D140B"/>
    <w:rsid w:val="68AF2172"/>
    <w:rsid w:val="68D47A7B"/>
    <w:rsid w:val="68DF193E"/>
    <w:rsid w:val="68E80759"/>
    <w:rsid w:val="68E84E3F"/>
    <w:rsid w:val="68EB5016"/>
    <w:rsid w:val="68F04F40"/>
    <w:rsid w:val="68F76E5C"/>
    <w:rsid w:val="691A565F"/>
    <w:rsid w:val="69455133"/>
    <w:rsid w:val="69937B96"/>
    <w:rsid w:val="69C2222A"/>
    <w:rsid w:val="6A3757AC"/>
    <w:rsid w:val="6A701523"/>
    <w:rsid w:val="6A9C2A7B"/>
    <w:rsid w:val="6AC1406F"/>
    <w:rsid w:val="6AD54BB5"/>
    <w:rsid w:val="6B264A3A"/>
    <w:rsid w:val="6B3634BA"/>
    <w:rsid w:val="6B4120C8"/>
    <w:rsid w:val="6BDD42B9"/>
    <w:rsid w:val="6BE84649"/>
    <w:rsid w:val="6C085287"/>
    <w:rsid w:val="6C401523"/>
    <w:rsid w:val="6C537AB1"/>
    <w:rsid w:val="6CB843CF"/>
    <w:rsid w:val="6CD00EA6"/>
    <w:rsid w:val="6CD26C28"/>
    <w:rsid w:val="6CE6131C"/>
    <w:rsid w:val="6CEB1759"/>
    <w:rsid w:val="6D313420"/>
    <w:rsid w:val="6D54763D"/>
    <w:rsid w:val="6DDB7D5E"/>
    <w:rsid w:val="6DDD5A51"/>
    <w:rsid w:val="6DE51FC5"/>
    <w:rsid w:val="6DED2D3B"/>
    <w:rsid w:val="6E414422"/>
    <w:rsid w:val="6EA15698"/>
    <w:rsid w:val="6EA231BA"/>
    <w:rsid w:val="6F2E742E"/>
    <w:rsid w:val="6F40256E"/>
    <w:rsid w:val="6F410095"/>
    <w:rsid w:val="6F482D42"/>
    <w:rsid w:val="6FA523D2"/>
    <w:rsid w:val="701045B5"/>
    <w:rsid w:val="703D37EB"/>
    <w:rsid w:val="70C71D41"/>
    <w:rsid w:val="70E21403"/>
    <w:rsid w:val="70FA674D"/>
    <w:rsid w:val="712D6B22"/>
    <w:rsid w:val="714B0D57"/>
    <w:rsid w:val="715959B6"/>
    <w:rsid w:val="715B4B81"/>
    <w:rsid w:val="715F1DCE"/>
    <w:rsid w:val="717B055E"/>
    <w:rsid w:val="71A128C0"/>
    <w:rsid w:val="71F475E4"/>
    <w:rsid w:val="723B701D"/>
    <w:rsid w:val="727A5D97"/>
    <w:rsid w:val="72872262"/>
    <w:rsid w:val="729E26DA"/>
    <w:rsid w:val="7301390F"/>
    <w:rsid w:val="738549F4"/>
    <w:rsid w:val="738A274E"/>
    <w:rsid w:val="73B07EB2"/>
    <w:rsid w:val="73ED585D"/>
    <w:rsid w:val="741E6BF6"/>
    <w:rsid w:val="7471020F"/>
    <w:rsid w:val="747131CA"/>
    <w:rsid w:val="747607E0"/>
    <w:rsid w:val="74885165"/>
    <w:rsid w:val="757A7E5C"/>
    <w:rsid w:val="76065B94"/>
    <w:rsid w:val="76110D92"/>
    <w:rsid w:val="768C7E47"/>
    <w:rsid w:val="76D56593"/>
    <w:rsid w:val="77DF59B7"/>
    <w:rsid w:val="78462278"/>
    <w:rsid w:val="78A463ED"/>
    <w:rsid w:val="78AE6557"/>
    <w:rsid w:val="792C3B64"/>
    <w:rsid w:val="797057FE"/>
    <w:rsid w:val="79D25EED"/>
    <w:rsid w:val="79FE1404"/>
    <w:rsid w:val="7A043533"/>
    <w:rsid w:val="7A067F11"/>
    <w:rsid w:val="7A4B1055"/>
    <w:rsid w:val="7A534C54"/>
    <w:rsid w:val="7ADC47C3"/>
    <w:rsid w:val="7B280FD1"/>
    <w:rsid w:val="7B4B6523"/>
    <w:rsid w:val="7B8A69E6"/>
    <w:rsid w:val="7BD07335"/>
    <w:rsid w:val="7BD227A0"/>
    <w:rsid w:val="7C2D5E41"/>
    <w:rsid w:val="7C907F65"/>
    <w:rsid w:val="7CA010C3"/>
    <w:rsid w:val="7CA34E54"/>
    <w:rsid w:val="7CCE6A29"/>
    <w:rsid w:val="7CF33270"/>
    <w:rsid w:val="7D02603F"/>
    <w:rsid w:val="7D2C2B03"/>
    <w:rsid w:val="7D4A280A"/>
    <w:rsid w:val="7D657644"/>
    <w:rsid w:val="7DDB1C1B"/>
    <w:rsid w:val="7DE94A78"/>
    <w:rsid w:val="7E146C66"/>
    <w:rsid w:val="7E1D3989"/>
    <w:rsid w:val="7E244E09"/>
    <w:rsid w:val="7E417867"/>
    <w:rsid w:val="7ED61979"/>
    <w:rsid w:val="7F051133"/>
    <w:rsid w:val="7F150C8C"/>
    <w:rsid w:val="7F3948E4"/>
    <w:rsid w:val="7F61079B"/>
    <w:rsid w:val="7F836F37"/>
    <w:rsid w:val="7FCC39AA"/>
    <w:rsid w:val="7FDB19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宋体"/>
      <w:snapToGrid w:val="0"/>
      <w:spacing w:val="-1"/>
      <w:sz w:val="24"/>
      <w:szCs w:val="24"/>
      <w:lang w:val="en-US" w:eastAsia="en-US" w:bidi="ar-SA"/>
    </w:rPr>
  </w:style>
  <w:style w:type="paragraph" w:styleId="2">
    <w:name w:val="heading 1"/>
    <w:basedOn w:val="1"/>
    <w:next w:val="1"/>
    <w:qFormat/>
    <w:uiPriority w:val="0"/>
    <w:pPr>
      <w:keepNext/>
      <w:keepLines/>
      <w:widowControl w:val="0"/>
      <w:spacing w:line="460" w:lineRule="exact"/>
      <w:jc w:val="center"/>
      <w:outlineLvl w:val="0"/>
    </w:pPr>
    <w:rPr>
      <w:rFonts w:ascii="Times New Roman" w:hAnsi="Times New Roman" w:cs="Times New Roman"/>
      <w:b/>
      <w:bCs/>
      <w:kern w:val="44"/>
      <w:sz w:val="32"/>
    </w:rPr>
  </w:style>
  <w:style w:type="paragraph" w:styleId="3">
    <w:name w:val="heading 2"/>
    <w:basedOn w:val="1"/>
    <w:next w:val="1"/>
    <w:qFormat/>
    <w:uiPriority w:val="0"/>
    <w:pPr>
      <w:keepNext/>
      <w:keepLines/>
      <w:kinsoku/>
      <w:spacing w:line="460" w:lineRule="exact"/>
      <w:outlineLvl w:val="1"/>
    </w:pPr>
    <w:rPr>
      <w:rFonts w:ascii="宋体" w:hAnsi="宋体"/>
      <w:b/>
      <w:bCs/>
      <w:spacing w:val="0"/>
      <w:szCs w:val="32"/>
    </w:rPr>
  </w:style>
  <w:style w:type="paragraph" w:styleId="4">
    <w:name w:val="heading 3"/>
    <w:basedOn w:val="1"/>
    <w:next w:val="1"/>
    <w:unhideWhenUsed/>
    <w:qFormat/>
    <w:uiPriority w:val="0"/>
    <w:pPr>
      <w:keepNext/>
      <w:keepLines/>
      <w:kinsoku/>
      <w:spacing w:line="460" w:lineRule="exact"/>
      <w:jc w:val="center"/>
      <w:outlineLvl w:val="2"/>
    </w:pPr>
    <w:rPr>
      <w:rFonts w:ascii="Times New Roman" w:hAnsi="Times New Roman"/>
      <w:b/>
      <w:spacing w:val="0"/>
    </w:rPr>
  </w:style>
  <w:style w:type="paragraph" w:styleId="5">
    <w:name w:val="heading 4"/>
    <w:basedOn w:val="1"/>
    <w:next w:val="1"/>
    <w:link w:val="36"/>
    <w:unhideWhenUsed/>
    <w:qFormat/>
    <w:uiPriority w:val="0"/>
    <w:pPr>
      <w:keepNext/>
      <w:keepLines/>
      <w:spacing w:line="372" w:lineRule="auto"/>
      <w:outlineLvl w:val="3"/>
    </w:pPr>
    <w:rPr>
      <w:rFonts w:eastAsia="黑体"/>
      <w:b/>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rPr>
      <w:szCs w:val="21"/>
    </w:rPr>
  </w:style>
  <w:style w:type="paragraph" w:styleId="7">
    <w:name w:val="Normal Indent"/>
    <w:basedOn w:val="1"/>
    <w:qFormat/>
    <w:uiPriority w:val="0"/>
    <w:pPr>
      <w:widowControl/>
      <w:ind w:firstLine="420"/>
      <w:jc w:val="left"/>
    </w:pPr>
    <w:rPr>
      <w:kern w:val="0"/>
      <w:sz w:val="20"/>
      <w:szCs w:val="20"/>
    </w:rPr>
  </w:style>
  <w:style w:type="paragraph" w:styleId="8">
    <w:name w:val="Document Map"/>
    <w:basedOn w:val="1"/>
    <w:link w:val="52"/>
    <w:qFormat/>
    <w:uiPriority w:val="0"/>
    <w:rPr>
      <w:rFonts w:ascii="宋体"/>
      <w:sz w:val="18"/>
      <w:szCs w:val="18"/>
    </w:rPr>
  </w:style>
  <w:style w:type="paragraph" w:styleId="9">
    <w:name w:val="annotation text"/>
    <w:basedOn w:val="1"/>
    <w:qFormat/>
    <w:uiPriority w:val="0"/>
  </w:style>
  <w:style w:type="paragraph" w:styleId="10">
    <w:name w:val="Body Text"/>
    <w:basedOn w:val="1"/>
    <w:qFormat/>
    <w:uiPriority w:val="0"/>
    <w:rPr>
      <w:rFonts w:ascii="仿宋" w:hAnsi="仿宋" w:eastAsia="仿宋" w:cs="仿宋"/>
      <w:sz w:val="30"/>
      <w:szCs w:val="30"/>
    </w:rPr>
  </w:style>
  <w:style w:type="paragraph" w:styleId="11">
    <w:name w:val="Body Text Indent"/>
    <w:basedOn w:val="1"/>
    <w:unhideWhenUsed/>
    <w:qFormat/>
    <w:uiPriority w:val="99"/>
    <w:pPr>
      <w:spacing w:after="120"/>
      <w:ind w:left="420" w:leftChars="200"/>
    </w:pPr>
    <w:rPr>
      <w:rFonts w:eastAsia="微软雅黑"/>
      <w:szCs w:val="20"/>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 w:val="20"/>
      <w:szCs w:val="21"/>
    </w:rPr>
  </w:style>
  <w:style w:type="paragraph" w:styleId="14">
    <w:name w:val="Balloon Text"/>
    <w:basedOn w:val="1"/>
    <w:link w:val="51"/>
    <w:qFormat/>
    <w:uiPriority w:val="0"/>
    <w:rPr>
      <w:sz w:val="18"/>
      <w:szCs w:val="18"/>
    </w:rPr>
  </w:style>
  <w:style w:type="paragraph" w:styleId="15">
    <w:name w:val="footer"/>
    <w:basedOn w:val="1"/>
    <w:qFormat/>
    <w:uiPriority w:val="0"/>
    <w:pPr>
      <w:tabs>
        <w:tab w:val="center" w:pos="4153"/>
        <w:tab w:val="right" w:pos="8306"/>
      </w:tabs>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7">
    <w:name w:val="toc 1"/>
    <w:basedOn w:val="1"/>
    <w:next w:val="1"/>
    <w:qFormat/>
    <w:uiPriority w:val="0"/>
  </w:style>
  <w:style w:type="paragraph" w:styleId="1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9">
    <w:name w:val="footnote text"/>
    <w:basedOn w:val="1"/>
    <w:unhideWhenUsed/>
    <w:qFormat/>
    <w:uiPriority w:val="0"/>
    <w:pPr>
      <w:snapToGrid w:val="0"/>
      <w:jc w:val="left"/>
    </w:pPr>
    <w:rPr>
      <w:sz w:val="18"/>
    </w:rPr>
  </w:style>
  <w:style w:type="paragraph" w:styleId="20">
    <w:name w:val="Body Text Indent 3"/>
    <w:basedOn w:val="1"/>
    <w:qFormat/>
    <w:uiPriority w:val="0"/>
    <w:pPr>
      <w:autoSpaceDE w:val="0"/>
      <w:autoSpaceDN w:val="0"/>
      <w:adjustRightInd w:val="0"/>
      <w:spacing w:line="360" w:lineRule="auto"/>
      <w:ind w:firstLine="570"/>
      <w:textAlignment w:val="baseline"/>
    </w:pPr>
    <w:rPr>
      <w:rFonts w:ascii="宋体"/>
      <w:kern w:val="0"/>
      <w:sz w:val="28"/>
    </w:rPr>
  </w:style>
  <w:style w:type="paragraph" w:styleId="21">
    <w:name w:val="toc 2"/>
    <w:basedOn w:val="1"/>
    <w:next w:val="1"/>
    <w:qFormat/>
    <w:uiPriority w:val="0"/>
    <w:pPr>
      <w:keepNext w:val="0"/>
      <w:keepLines w:val="0"/>
      <w:widowControl w:val="0"/>
      <w:suppressLineNumbers w:val="0"/>
      <w:ind w:left="420" w:leftChars="200" w:right="283" w:rightChars="135"/>
      <w:jc w:val="both"/>
    </w:pPr>
    <w:rPr>
      <w:rFonts w:hint="default" w:ascii="Times New Roman" w:hAnsi="Times New Roman" w:eastAsia="宋体" w:cs="Times New Roman"/>
      <w:kern w:val="2"/>
      <w:sz w:val="21"/>
      <w:szCs w:val="21"/>
      <w:lang w:val="en-US" w:eastAsia="zh-CN" w:bidi="ar"/>
    </w:rPr>
  </w:style>
  <w:style w:type="paragraph" w:styleId="22">
    <w:name w:val="Normal (Web)"/>
    <w:basedOn w:val="1"/>
    <w:qFormat/>
    <w:uiPriority w:val="0"/>
    <w:pPr>
      <w:spacing w:before="100" w:beforeAutospacing="1" w:after="100" w:afterAutospacing="1"/>
    </w:pPr>
    <w:rPr>
      <w:rFonts w:ascii="宋体" w:hAnsi="宋体"/>
    </w:rPr>
  </w:style>
  <w:style w:type="paragraph" w:styleId="23">
    <w:name w:val="Body Text First Indent"/>
    <w:basedOn w:val="10"/>
    <w:qFormat/>
    <w:uiPriority w:val="0"/>
    <w:pPr>
      <w:ind w:firstLine="420" w:firstLineChars="100"/>
    </w:pPr>
  </w:style>
  <w:style w:type="paragraph" w:styleId="24">
    <w:name w:val="Body Text First Indent 2"/>
    <w:basedOn w:val="11"/>
    <w:next w:val="23"/>
    <w:qFormat/>
    <w:uiPriority w:val="0"/>
    <w:pPr>
      <w:keepNext w:val="0"/>
      <w:keepLines w:val="0"/>
      <w:widowControl w:val="0"/>
      <w:suppressLineNumbers w:val="0"/>
      <w:ind w:left="105" w:leftChars="50" w:firstLine="420" w:firstLineChars="200"/>
      <w:jc w:val="both"/>
    </w:pPr>
    <w:rPr>
      <w:rFonts w:hint="eastAsia" w:ascii="宋体" w:hAnsi="宋体" w:eastAsia="宋体" w:cs="Times New Roman"/>
      <w:kern w:val="2"/>
      <w:sz w:val="21"/>
      <w:szCs w:val="21"/>
      <w:lang w:val="en-US" w:eastAsia="zh-CN" w:bidi="ar"/>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0"/>
    <w:rPr>
      <w:b/>
    </w:rPr>
  </w:style>
  <w:style w:type="character" w:styleId="29">
    <w:name w:val="page number"/>
    <w:basedOn w:val="27"/>
    <w:qFormat/>
    <w:uiPriority w:val="99"/>
    <w:rPr>
      <w:rFonts w:cs="Times New Roman"/>
    </w:rPr>
  </w:style>
  <w:style w:type="character" w:styleId="30">
    <w:name w:val="Emphasis"/>
    <w:qFormat/>
    <w:uiPriority w:val="0"/>
  </w:style>
  <w:style w:type="character" w:styleId="31">
    <w:name w:val="Hyperlink"/>
    <w:basedOn w:val="27"/>
    <w:qFormat/>
    <w:uiPriority w:val="0"/>
    <w:rPr>
      <w:color w:val="0000FF"/>
      <w:u w:val="single"/>
    </w:rPr>
  </w:style>
  <w:style w:type="character" w:styleId="32">
    <w:name w:val="annotation reference"/>
    <w:unhideWhenUsed/>
    <w:qFormat/>
    <w:uiPriority w:val="0"/>
    <w:rPr>
      <w:sz w:val="21"/>
      <w:szCs w:val="21"/>
    </w:rPr>
  </w:style>
  <w:style w:type="paragraph" w:customStyle="1" w:styleId="33">
    <w:name w:val="表格文字"/>
    <w:basedOn w:val="1"/>
    <w:qFormat/>
    <w:uiPriority w:val="0"/>
    <w:pPr>
      <w:spacing w:before="25" w:after="25"/>
      <w:jc w:val="left"/>
    </w:pPr>
    <w:rPr>
      <w:bCs/>
      <w:spacing w:val="10"/>
      <w:kern w:val="0"/>
    </w:rPr>
  </w:style>
  <w:style w:type="paragraph" w:customStyle="1" w:styleId="3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Normal Indent"/>
    <w:basedOn w:val="1"/>
    <w:qFormat/>
    <w:uiPriority w:val="0"/>
    <w:pPr>
      <w:widowControl/>
      <w:ind w:firstLine="420" w:firstLineChars="200"/>
    </w:pPr>
  </w:style>
  <w:style w:type="character" w:customStyle="1" w:styleId="36">
    <w:name w:val="标题 4 Char"/>
    <w:link w:val="5"/>
    <w:qFormat/>
    <w:uiPriority w:val="0"/>
    <w:rPr>
      <w:rFonts w:ascii="Arial" w:hAnsi="Arial" w:eastAsia="黑体"/>
      <w:b/>
      <w:sz w:val="28"/>
    </w:rPr>
  </w:style>
  <w:style w:type="paragraph" w:customStyle="1" w:styleId="37">
    <w:name w:val="Normal Indent1"/>
    <w:basedOn w:val="1"/>
    <w:qFormat/>
    <w:uiPriority w:val="0"/>
    <w:pPr>
      <w:ind w:firstLine="420" w:firstLineChars="200"/>
    </w:p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Table Text"/>
    <w:basedOn w:val="1"/>
    <w:semiHidden/>
    <w:qFormat/>
    <w:uiPriority w:val="0"/>
  </w:style>
  <w:style w:type="paragraph" w:customStyle="1" w:styleId="40">
    <w:name w:val="Heading #2|1"/>
    <w:basedOn w:val="1"/>
    <w:qFormat/>
    <w:uiPriority w:val="0"/>
    <w:pPr>
      <w:widowControl w:val="0"/>
      <w:spacing w:after="580" w:line="634" w:lineRule="exact"/>
      <w:jc w:val="center"/>
      <w:outlineLvl w:val="1"/>
    </w:pPr>
    <w:rPr>
      <w:rFonts w:ascii="宋体" w:hAnsi="宋体"/>
      <w:sz w:val="44"/>
      <w:szCs w:val="44"/>
      <w:lang w:val="zh-TW" w:eastAsia="zh-TW" w:bidi="zh-TW"/>
    </w:rPr>
  </w:style>
  <w:style w:type="paragraph" w:customStyle="1" w:styleId="41">
    <w:name w:val="Body text|1"/>
    <w:basedOn w:val="1"/>
    <w:qFormat/>
    <w:uiPriority w:val="0"/>
    <w:pPr>
      <w:widowControl w:val="0"/>
      <w:spacing w:line="432" w:lineRule="auto"/>
      <w:ind w:firstLine="400"/>
    </w:pPr>
    <w:rPr>
      <w:rFonts w:ascii="宋体" w:hAnsi="宋体"/>
      <w:sz w:val="30"/>
      <w:szCs w:val="30"/>
      <w:lang w:val="zh-TW" w:eastAsia="zh-TW" w:bidi="zh-TW"/>
    </w:rPr>
  </w:style>
  <w:style w:type="paragraph" w:customStyle="1" w:styleId="42">
    <w:name w:val="Body text|2"/>
    <w:basedOn w:val="1"/>
    <w:qFormat/>
    <w:uiPriority w:val="0"/>
    <w:pPr>
      <w:widowControl w:val="0"/>
    </w:pPr>
    <w:rPr>
      <w:rFonts w:ascii="宋体" w:hAnsi="宋体"/>
      <w:sz w:val="26"/>
      <w:szCs w:val="26"/>
      <w:lang w:val="zh-TW" w:eastAsia="zh-TW" w:bidi="zh-TW"/>
    </w:rPr>
  </w:style>
  <w:style w:type="paragraph" w:customStyle="1" w:styleId="43">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样式1"/>
    <w:basedOn w:val="2"/>
    <w:qFormat/>
    <w:uiPriority w:val="0"/>
    <w:pPr>
      <w:spacing w:before="240" w:after="240" w:line="440" w:lineRule="exact"/>
    </w:pPr>
    <w:rPr>
      <w:rFonts w:eastAsia="楷体"/>
      <w:sz w:val="36"/>
      <w:szCs w:val="28"/>
    </w:rPr>
  </w:style>
  <w:style w:type="character" w:customStyle="1" w:styleId="45">
    <w:name w:val="font31"/>
    <w:qFormat/>
    <w:uiPriority w:val="0"/>
    <w:rPr>
      <w:rFonts w:hint="eastAsia" w:ascii="宋体" w:hAnsi="宋体" w:eastAsia="宋体" w:cs="宋体"/>
      <w:color w:val="000000"/>
      <w:sz w:val="21"/>
      <w:szCs w:val="21"/>
      <w:u w:val="none"/>
    </w:rPr>
  </w:style>
  <w:style w:type="paragraph" w:styleId="46">
    <w:name w:val="List Paragraph"/>
    <w:basedOn w:val="1"/>
    <w:qFormat/>
    <w:uiPriority w:val="34"/>
    <w:pPr>
      <w:ind w:firstLine="420" w:firstLineChars="200"/>
    </w:pPr>
    <w:rPr>
      <w:rFonts w:ascii="Times New Roman" w:hAnsi="Times New Roman" w:cs="Times New Roman"/>
    </w:rPr>
  </w:style>
  <w:style w:type="paragraph" w:customStyle="1" w:styleId="47">
    <w:name w:val="缺省文本"/>
    <w:basedOn w:val="1"/>
    <w:qFormat/>
    <w:uiPriority w:val="0"/>
    <w:pPr>
      <w:spacing w:before="20" w:after="20" w:line="400" w:lineRule="exact"/>
      <w:ind w:firstLine="504"/>
    </w:pPr>
    <w:rPr>
      <w:rFonts w:ascii="Times New Roman" w:hAnsi="Times New Roman" w:cs="Times New Roman"/>
      <w:szCs w:val="20"/>
    </w:rPr>
  </w:style>
  <w:style w:type="paragraph" w:customStyle="1" w:styleId="48">
    <w:name w:val="WPSOffice手动目录 1"/>
    <w:qFormat/>
    <w:uiPriority w:val="0"/>
    <w:rPr>
      <w:rFonts w:ascii="Times New Roman" w:hAnsi="Times New Roman" w:eastAsia="宋体" w:cs="Times New Roman"/>
      <w:lang w:val="en-US" w:eastAsia="zh-CN" w:bidi="ar-SA"/>
    </w:rPr>
  </w:style>
  <w:style w:type="paragraph" w:customStyle="1" w:styleId="4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0">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51">
    <w:name w:val="批注框文本 Char"/>
    <w:basedOn w:val="27"/>
    <w:link w:val="14"/>
    <w:qFormat/>
    <w:uiPriority w:val="0"/>
    <w:rPr>
      <w:rFonts w:ascii="Arial" w:hAnsi="Arial" w:cs="宋体"/>
      <w:snapToGrid w:val="0"/>
      <w:spacing w:val="-1"/>
      <w:sz w:val="18"/>
      <w:szCs w:val="18"/>
      <w:lang w:eastAsia="en-US"/>
    </w:rPr>
  </w:style>
  <w:style w:type="character" w:customStyle="1" w:styleId="52">
    <w:name w:val="文档结构图 Char"/>
    <w:basedOn w:val="27"/>
    <w:link w:val="8"/>
    <w:qFormat/>
    <w:uiPriority w:val="0"/>
    <w:rPr>
      <w:rFonts w:ascii="宋体" w:hAnsi="Arial" w:cs="宋体"/>
      <w:snapToGrid w:val="0"/>
      <w:spacing w:val="-1"/>
      <w:sz w:val="18"/>
      <w:szCs w:val="18"/>
      <w:lang w:eastAsia="en-US"/>
    </w:rPr>
  </w:style>
  <w:style w:type="paragraph" w:customStyle="1" w:styleId="53">
    <w:name w:val="正文缩进1"/>
    <w:basedOn w:val="1"/>
    <w:qFormat/>
    <w:uiPriority w:val="0"/>
    <w:pPr>
      <w:ind w:firstLine="420" w:firstLineChars="200"/>
    </w:pPr>
  </w:style>
  <w:style w:type="character" w:customStyle="1" w:styleId="54">
    <w:name w:val="zisiblack2"/>
    <w:qFormat/>
    <w:uiPriority w:val="99"/>
    <w:rPr>
      <w:rFonts w:cs="Times New Roman"/>
    </w:rPr>
  </w:style>
  <w:style w:type="character" w:customStyle="1" w:styleId="55">
    <w:name w:val="16"/>
    <w:basedOn w:val="27"/>
    <w:qFormat/>
    <w:uiPriority w:val="0"/>
    <w:rPr>
      <w:rFonts w:hint="default" w:ascii="Times New Roman" w:hAnsi="Times New Roman" w:cs="Times New Roman"/>
    </w:rPr>
  </w:style>
  <w:style w:type="character" w:customStyle="1" w:styleId="56">
    <w:name w:val="15"/>
    <w:basedOn w:val="27"/>
    <w:qFormat/>
    <w:uiPriority w:val="0"/>
    <w:rPr>
      <w:rFonts w:hint="default" w:ascii="Times New Roman" w:hAnsi="Times New Roman" w:cs="Times New Roman"/>
    </w:rPr>
  </w:style>
  <w:style w:type="character" w:customStyle="1" w:styleId="57">
    <w:name w:val="10"/>
    <w:basedOn w:val="27"/>
    <w:qFormat/>
    <w:uiPriority w:val="0"/>
    <w:rPr>
      <w:rFonts w:hint="default" w:ascii="Times New Roman" w:hAnsi="Times New Roman" w:cs="Times New Roman"/>
    </w:rPr>
  </w:style>
  <w:style w:type="character" w:customStyle="1" w:styleId="58">
    <w:name w:val="fontstyle01"/>
    <w:qFormat/>
    <w:uiPriority w:val="0"/>
    <w:rPr>
      <w:rFonts w:hint="eastAsia" w:ascii="宋体" w:hAnsi="宋体" w:eastAsia="宋体"/>
      <w:color w:val="000000"/>
      <w:sz w:val="24"/>
      <w:szCs w:val="24"/>
    </w:rPr>
  </w:style>
  <w:style w:type="paragraph" w:customStyle="1" w:styleId="59">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60">
    <w:name w:val="首行缩进"/>
    <w:basedOn w:val="1"/>
    <w:qFormat/>
    <w:uiPriority w:val="0"/>
    <w:pPr>
      <w:spacing w:line="300" w:lineRule="auto"/>
      <w:ind w:firstLine="420" w:firstLineChars="200"/>
    </w:pPr>
    <w:rPr>
      <w:rFonts w:eastAsia="方正书宋简体"/>
      <w:kern w:val="0"/>
      <w:sz w:val="20"/>
    </w:rPr>
  </w:style>
  <w:style w:type="paragraph" w:customStyle="1" w:styleId="61">
    <w:name w:val="一级条标题"/>
    <w:basedOn w:val="62"/>
    <w:next w:val="63"/>
    <w:qFormat/>
    <w:uiPriority w:val="0"/>
    <w:pPr>
      <w:outlineLvl w:val="2"/>
    </w:pPr>
    <w:rPr>
      <w:sz w:val="20"/>
    </w:rPr>
  </w:style>
  <w:style w:type="paragraph" w:customStyle="1" w:styleId="62">
    <w:name w:val="章标题"/>
    <w:next w:val="63"/>
    <w:qFormat/>
    <w:uiPriority w:val="0"/>
    <w:p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63">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64">
    <w:name w:val="Table Paragraph"/>
    <w:basedOn w:val="1"/>
    <w:qFormat/>
    <w:uiPriority w:val="1"/>
    <w:pPr>
      <w:jc w:val="left"/>
    </w:pPr>
    <w:rPr>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3302</Words>
  <Characters>3745</Characters>
  <Lines>1</Lines>
  <Paragraphs>1</Paragraphs>
  <TotalTime>0</TotalTime>
  <ScaleCrop>false</ScaleCrop>
  <LinksUpToDate>false</LinksUpToDate>
  <CharactersWithSpaces>4676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2023-09-05T04:49:00Z</dcterms:created>
  <dc:creator>仰望</dc:creator>
  <cp:lastModifiedBy>xx</cp:lastModifiedBy>
  <cp:lastPrinted>2025-03-06T01:18:00Z</cp:lastPrinted>
  <dcterms:modified xsi:type="dcterms:W3CDTF">2025-09-30T08:20:21Z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2023-09-01T08:44:53Z</vt:filetime>
  </property>
  <property fmtid="{D5CDD505-2E9C-101B-9397-08002B2CF9AE}" pid="4" name="KSOProductBuildVer">
    <vt:lpwstr>2052-12.1.0.22529</vt:lpwstr>
  </property>
  <property fmtid="{D5CDD505-2E9C-101B-9397-08002B2CF9AE}" pid="5" name="ICV">
    <vt:lpwstr>EAE3F31831214DB6AF62B45F59C318D5_13</vt:lpwstr>
  </property>
  <property fmtid="{D5CDD505-2E9C-101B-9397-08002B2CF9AE}" pid="6" name="KSOTemplateDocerSaveRecord">
    <vt:lpwstr>eyJoZGlkIjoiYWRmMGFmNjNhNTVjYWYwZWEyYTM1MmZmMDU5MWNlZGYiLCJ1c2VySWQiOiI1Mjc2MDU0NTkifQ==</vt:lpwstr>
  </property>
</Properties>
</file>