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A2B7">
      <w:pPr>
        <w:pStyle w:val="2"/>
        <w:topLinePunct/>
        <w:spacing w:before="0" w:after="0" w:line="460" w:lineRule="exact"/>
        <w:rPr>
          <w:rFonts w:hint="eastAsia" w:ascii="宋体" w:hAnsi="宋体"/>
          <w:color w:val="000000"/>
          <w:sz w:val="24"/>
          <w:szCs w:val="24"/>
        </w:rPr>
      </w:pPr>
      <w:bookmarkStart w:id="0" w:name="_Toc6437"/>
      <w:bookmarkStart w:id="1" w:name="_Toc8467"/>
      <w:bookmarkStart w:id="2" w:name="_Toc32165"/>
      <w:bookmarkStart w:id="3" w:name="_Toc21699"/>
      <w:bookmarkStart w:id="4" w:name="_Toc26448"/>
      <w:bookmarkStart w:id="5" w:name="_Toc98514396"/>
      <w:r>
        <w:rPr>
          <w:rFonts w:hint="eastAsia" w:ascii="宋体" w:hAnsi="宋体"/>
          <w:color w:val="000000"/>
          <w:sz w:val="24"/>
          <w:szCs w:val="24"/>
        </w:rPr>
        <w:t>一、</w:t>
      </w:r>
      <w:bookmarkEnd w:id="0"/>
      <w:r>
        <w:rPr>
          <w:rFonts w:hint="eastAsia" w:ascii="宋体" w:hAnsi="宋体"/>
          <w:color w:val="000000"/>
          <w:sz w:val="24"/>
          <w:szCs w:val="24"/>
        </w:rPr>
        <w:t>采购清单</w:t>
      </w:r>
      <w:bookmarkEnd w:id="1"/>
      <w:bookmarkEnd w:id="2"/>
      <w:bookmarkEnd w:id="3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6889"/>
        <w:gridCol w:w="469"/>
        <w:gridCol w:w="469"/>
      </w:tblGrid>
      <w:tr w14:paraId="64CD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jc w:val="center"/>
        </w:trPr>
        <w:tc>
          <w:tcPr>
            <w:tcW w:w="294" w:type="pct"/>
            <w:noWrap w:val="0"/>
            <w:vAlign w:val="center"/>
          </w:tcPr>
          <w:p w14:paraId="7F62DDCC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142" w:type="pct"/>
            <w:noWrap w:val="0"/>
            <w:vAlign w:val="center"/>
          </w:tcPr>
          <w:p w14:paraId="671BF646">
            <w:pPr>
              <w:topLinePunct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bookmarkStart w:id="6" w:name="_Toc4137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采购标的名称</w:t>
            </w:r>
            <w:bookmarkEnd w:id="6"/>
          </w:p>
        </w:tc>
        <w:tc>
          <w:tcPr>
            <w:tcW w:w="282" w:type="pct"/>
            <w:noWrap w:val="0"/>
            <w:vAlign w:val="center"/>
          </w:tcPr>
          <w:p w14:paraId="4079D1B2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82" w:type="pct"/>
            <w:noWrap w:val="0"/>
            <w:vAlign w:val="center"/>
          </w:tcPr>
          <w:p w14:paraId="07D96933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单位</w:t>
            </w:r>
          </w:p>
        </w:tc>
      </w:tr>
      <w:tr w14:paraId="555B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94" w:type="pct"/>
            <w:noWrap w:val="0"/>
            <w:vAlign w:val="center"/>
          </w:tcPr>
          <w:p w14:paraId="6693A92B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142" w:type="pct"/>
            <w:noWrap w:val="0"/>
            <w:vAlign w:val="center"/>
          </w:tcPr>
          <w:p w14:paraId="465867CB">
            <w:pPr>
              <w:widowControl/>
              <w:topLinePunct/>
              <w:spacing w:line="4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内河航道应急抢通(2025年第一批)服务项目竣后质量检验检测服务</w:t>
            </w:r>
          </w:p>
        </w:tc>
        <w:tc>
          <w:tcPr>
            <w:tcW w:w="282" w:type="pct"/>
            <w:noWrap w:val="0"/>
            <w:vAlign w:val="center"/>
          </w:tcPr>
          <w:p w14:paraId="3E8F9CB1">
            <w:pPr>
              <w:widowControl/>
              <w:topLinePunct/>
              <w:spacing w:line="4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82" w:type="pct"/>
            <w:noWrap w:val="0"/>
            <w:vAlign w:val="center"/>
          </w:tcPr>
          <w:p w14:paraId="4E7D85A0">
            <w:pPr>
              <w:widowControl/>
              <w:topLinePunct/>
              <w:spacing w:line="4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</w:tr>
    </w:tbl>
    <w:p w14:paraId="4121B450">
      <w:pPr>
        <w:pStyle w:val="2"/>
        <w:topLinePunct/>
        <w:spacing w:before="0" w:after="0" w:line="460" w:lineRule="exact"/>
        <w:rPr>
          <w:rFonts w:hint="eastAsia" w:ascii="宋体" w:hAnsi="宋体"/>
          <w:color w:val="000000"/>
          <w:sz w:val="24"/>
          <w:szCs w:val="24"/>
        </w:rPr>
      </w:pPr>
      <w:bookmarkStart w:id="7" w:name="_Toc4631"/>
      <w:r>
        <w:rPr>
          <w:rFonts w:hint="eastAsia" w:ascii="宋体" w:hAnsi="宋体"/>
          <w:color w:val="000000"/>
          <w:sz w:val="24"/>
          <w:szCs w:val="24"/>
        </w:rPr>
        <w:t>二、技术要求</w:t>
      </w:r>
      <w:bookmarkEnd w:id="4"/>
      <w:bookmarkEnd w:id="5"/>
      <w:bookmarkEnd w:id="7"/>
    </w:p>
    <w:p w14:paraId="059FF79F">
      <w:pPr>
        <w:topLinePunct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1、项目概况：内河航道应急抢通(2025年第一批)服务项目包括2个浅滩，详见各浅滩情况表。</w:t>
      </w:r>
    </w:p>
    <w:p w14:paraId="2F26F7C4">
      <w:pPr>
        <w:topLinePunct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2、测量方式及次数：每处疏浚浅滩的浚后测量一次，若初测不合格，需补测直至合格。</w:t>
      </w:r>
      <w:bookmarkStart w:id="8" w:name="_GoBack"/>
      <w:bookmarkEnd w:id="8"/>
    </w:p>
    <w:p w14:paraId="530EF9B2">
      <w:pPr>
        <w:topLinePunct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3、平面坐标采用2000国家大地坐标系/北京54坐标系，高程采用1985国家高程基准。</w:t>
      </w:r>
    </w:p>
    <w:p w14:paraId="1F60CFAF">
      <w:pPr>
        <w:topLinePunct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4、验收测图比例不小于1：2000，按断面图中设计航道底标高、底宽、边坡验收，实行分滩验收。</w:t>
      </w:r>
    </w:p>
    <w:p w14:paraId="360450C7">
      <w:pPr>
        <w:topLinePunct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5、提供纸质测量成果四套，电子成果需采用三维高程点。</w:t>
      </w:r>
    </w:p>
    <w:p w14:paraId="24A5681E">
      <w:pPr>
        <w:topLinePunct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6、联合采购人组织内河航道应急抢通(2025年第一批)服务项目的交(竣)工验收会，由供应商承担验收会相关费用。</w:t>
      </w:r>
    </w:p>
    <w:p w14:paraId="59C90415">
      <w:pPr>
        <w:topLinePunct/>
        <w:adjustRightInd w:val="0"/>
        <w:snapToGrid w:val="0"/>
        <w:spacing w:line="460" w:lineRule="exact"/>
        <w:jc w:val="center"/>
        <w:textAlignment w:val="baseline"/>
        <w:rPr>
          <w:rFonts w:hint="eastAsia" w:ascii="宋体" w:hAnsi="宋体" w:cs="宋体"/>
          <w:spacing w:val="-5"/>
          <w:sz w:val="24"/>
          <w:szCs w:val="24"/>
        </w:rPr>
      </w:pPr>
      <w:r>
        <w:rPr>
          <w:rFonts w:hint="eastAsia" w:ascii="宋体" w:hAnsi="宋体" w:cs="宋体"/>
          <w:b/>
          <w:bCs/>
          <w:spacing w:val="-5"/>
          <w:sz w:val="24"/>
          <w:szCs w:val="24"/>
        </w:rPr>
        <w:t>各浅滩情况表</w:t>
      </w:r>
    </w:p>
    <w:tbl>
      <w:tblPr>
        <w:tblStyle w:val="4"/>
        <w:tblW w:w="5000" w:type="pct"/>
        <w:tblInd w:w="-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2146"/>
        <w:gridCol w:w="1417"/>
        <w:gridCol w:w="1417"/>
        <w:gridCol w:w="1417"/>
        <w:gridCol w:w="1416"/>
      </w:tblGrid>
      <w:tr w14:paraId="6DDFC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2D8F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A600">
            <w:pPr>
              <w:topLinePunct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所属片区中心</w:t>
            </w:r>
          </w:p>
        </w:tc>
        <w:tc>
          <w:tcPr>
            <w:tcW w:w="85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633E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滩名 </w:t>
            </w:r>
          </w:p>
        </w:tc>
        <w:tc>
          <w:tcPr>
            <w:tcW w:w="85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8312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长度（m）</w:t>
            </w:r>
          </w:p>
        </w:tc>
        <w:tc>
          <w:tcPr>
            <w:tcW w:w="85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668E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宽度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（m）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5326F7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面积（㎡）</w:t>
            </w:r>
          </w:p>
        </w:tc>
      </w:tr>
      <w:tr w14:paraId="2B13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B878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A2A0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赣中航道事务中心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3A1C">
            <w:pPr>
              <w:topLinePunct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流水洞滩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9134">
            <w:pPr>
              <w:topLinePunct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2900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F16B">
            <w:pPr>
              <w:topLinePunct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A124B8">
            <w:pPr>
              <w:topLinePunct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348000</w:t>
            </w:r>
          </w:p>
        </w:tc>
      </w:tr>
      <w:tr w14:paraId="5960B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6B53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93FA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F270">
            <w:pPr>
              <w:topLinePunct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牛溪港滩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C5A6">
            <w:pPr>
              <w:topLinePunct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3200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356E">
            <w:pPr>
              <w:topLinePunct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2E7801">
            <w:pPr>
              <w:topLinePunct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384000</w:t>
            </w:r>
          </w:p>
        </w:tc>
      </w:tr>
      <w:tr w14:paraId="5A596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244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C80D">
            <w:pPr>
              <w:topLinePunct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FFB0">
            <w:pPr>
              <w:topLinePunct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6100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B0BF">
            <w:pPr>
              <w:widowControl/>
              <w:topLinePunct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E75235">
            <w:pPr>
              <w:topLinePunct/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732000</w:t>
            </w:r>
          </w:p>
        </w:tc>
      </w:tr>
    </w:tbl>
    <w:p w14:paraId="63DD36FC">
      <w:r>
        <w:rPr>
          <w:rFonts w:hint="eastAsia" w:ascii="宋体" w:hAnsi="宋体"/>
          <w:b/>
          <w:sz w:val="24"/>
          <w:szCs w:val="24"/>
        </w:rPr>
        <w:t>注：以上“技术要求”为实质性要求，必须完全满足，否则响应无效。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2D"/>
    <w:rsid w:val="00CA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2025-10-16T08:59:00Z</dcterms:created>
  <dc:creator>包泽宁</dc:creator>
  <cp:lastModifiedBy>包泽宁</cp:lastModifiedBy>
  <dcterms:modified xsi:type="dcterms:W3CDTF">2025-10-16T08:59:57Z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693E4B9EFD414F53813AD4C07C945608_11</vt:lpwstr>
  </property>
  <property fmtid="{D5CDD505-2E9C-101B-9397-08002B2CF9AE}" pid="4" name="KSOTemplateDocerSaveRecord">
    <vt:lpwstr>eyJoZGlkIjoiYzZlNTk0ZGE0NTJlNTIyMjhmNWIzMDM4NWQ1MmNkNjgiLCJ1c2VySWQiOiIyODQ3NjAxNjYifQ==</vt:lpwstr>
  </property>
</Properties>
</file>