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859"/>
      </w:tblGrid>
      <w:tr w14:paraId="2D91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</w:tcPr>
          <w:p w14:paraId="4A11B3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附件1：</w:t>
            </w:r>
          </w:p>
        </w:tc>
        <w:tc>
          <w:tcPr>
            <w:tcW w:w="9220" w:type="dxa"/>
            <w:noWrap/>
          </w:tcPr>
          <w:p w14:paraId="25BC5A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阅片灯项目招标需求</w:t>
            </w:r>
            <w:bookmarkStart w:id="0" w:name="_GoBack"/>
            <w:bookmarkEnd w:id="0"/>
          </w:p>
        </w:tc>
      </w:tr>
      <w:tr w14:paraId="1C3D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5B34D4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9220" w:type="dxa"/>
            <w:noWrap/>
          </w:tcPr>
          <w:p w14:paraId="728146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</w:tr>
      <w:tr w14:paraId="7330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2B1BC4DC">
            <w:r>
              <w:rPr>
                <w:rFonts w:hint="eastAsia"/>
              </w:rPr>
              <w:t>1</w:t>
            </w:r>
          </w:p>
        </w:tc>
        <w:tc>
          <w:tcPr>
            <w:tcW w:w="9220" w:type="dxa"/>
          </w:tcPr>
          <w:p w14:paraId="1FB55880">
            <w:r>
              <w:rPr>
                <w:rFonts w:hint="eastAsia"/>
              </w:rPr>
              <w:t>阅片区域为两联外观尺寸（长×高mm）：≥720×420；</w:t>
            </w:r>
          </w:p>
        </w:tc>
      </w:tr>
      <w:tr w14:paraId="10D5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57DFFCE6">
            <w:r>
              <w:rPr>
                <w:rFonts w:hint="eastAsia"/>
              </w:rPr>
              <w:t>2</w:t>
            </w:r>
          </w:p>
        </w:tc>
        <w:tc>
          <w:tcPr>
            <w:tcW w:w="9220" w:type="dxa"/>
          </w:tcPr>
          <w:p w14:paraId="610B3AF6">
            <w:r>
              <w:rPr>
                <w:rFonts w:hint="eastAsia"/>
              </w:rPr>
              <w:t>光源：LED侧光源技术；</w:t>
            </w:r>
          </w:p>
        </w:tc>
      </w:tr>
      <w:tr w14:paraId="0F03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38172F23">
            <w:r>
              <w:rPr>
                <w:rFonts w:hint="eastAsia"/>
              </w:rPr>
              <w:t>3</w:t>
            </w:r>
          </w:p>
        </w:tc>
        <w:tc>
          <w:tcPr>
            <w:tcW w:w="9220" w:type="dxa"/>
          </w:tcPr>
          <w:p w14:paraId="6F81D39D">
            <w:r>
              <w:rPr>
                <w:rFonts w:hint="eastAsia"/>
              </w:rPr>
              <w:t>电源：内置电源  AC110V-240V/ 50~60Hz(宽电压）；</w:t>
            </w:r>
          </w:p>
        </w:tc>
      </w:tr>
      <w:tr w14:paraId="76E0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22E85DE6">
            <w:r>
              <w:rPr>
                <w:rFonts w:hint="eastAsia"/>
              </w:rPr>
              <w:t>4</w:t>
            </w:r>
          </w:p>
        </w:tc>
        <w:tc>
          <w:tcPr>
            <w:tcW w:w="9220" w:type="dxa"/>
          </w:tcPr>
          <w:p w14:paraId="15F85F9D">
            <w:r>
              <w:rPr>
                <w:rFonts w:hint="eastAsia"/>
              </w:rPr>
              <w:t>光源色温：≥10000K；</w:t>
            </w:r>
          </w:p>
        </w:tc>
      </w:tr>
      <w:tr w14:paraId="596D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090CF1E4">
            <w:r>
              <w:rPr>
                <w:rFonts w:hint="eastAsia"/>
              </w:rPr>
              <w:t>5</w:t>
            </w:r>
          </w:p>
        </w:tc>
        <w:tc>
          <w:tcPr>
            <w:tcW w:w="9220" w:type="dxa"/>
          </w:tcPr>
          <w:p w14:paraId="4B840220">
            <w:r>
              <w:rPr>
                <w:rFonts w:hint="eastAsia"/>
              </w:rPr>
              <w:t>观察屏亮度：Max Typ：4500cd/㎡±10%，亮度调节范围：0-4500cd/㎡；</w:t>
            </w:r>
          </w:p>
        </w:tc>
      </w:tr>
      <w:tr w14:paraId="4708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2D98C088">
            <w:r>
              <w:rPr>
                <w:rFonts w:hint="eastAsia"/>
              </w:rPr>
              <w:t>6</w:t>
            </w:r>
          </w:p>
        </w:tc>
        <w:tc>
          <w:tcPr>
            <w:tcW w:w="9220" w:type="dxa"/>
          </w:tcPr>
          <w:p w14:paraId="13670E39">
            <w:r>
              <w:rPr>
                <w:rFonts w:hint="eastAsia"/>
              </w:rPr>
              <w:t>即插即亮:插入胶片观片灯自动点亮；取下胶片观片灯自动熄灭。同时也可手动打开常亮；</w:t>
            </w:r>
          </w:p>
        </w:tc>
      </w:tr>
      <w:tr w14:paraId="639A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5BFB4B31">
            <w:r>
              <w:rPr>
                <w:rFonts w:hint="eastAsia"/>
              </w:rPr>
              <w:t>7</w:t>
            </w:r>
          </w:p>
        </w:tc>
        <w:tc>
          <w:tcPr>
            <w:tcW w:w="9220" w:type="dxa"/>
          </w:tcPr>
          <w:p w14:paraId="756E0870">
            <w:r>
              <w:rPr>
                <w:rFonts w:hint="eastAsia"/>
              </w:rPr>
              <w:t>观察屏均匀度：&gt;90%；</w:t>
            </w:r>
          </w:p>
        </w:tc>
      </w:tr>
      <w:tr w14:paraId="4606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5EFDADAC">
            <w:r>
              <w:rPr>
                <w:rFonts w:hint="eastAsia"/>
              </w:rPr>
              <w:t>8</w:t>
            </w:r>
          </w:p>
        </w:tc>
        <w:tc>
          <w:tcPr>
            <w:tcW w:w="9220" w:type="dxa"/>
          </w:tcPr>
          <w:p w14:paraId="59A0927B">
            <w:r>
              <w:rPr>
                <w:rFonts w:hint="eastAsia"/>
              </w:rPr>
              <w:t>LED光源寿命：≥100000 h；</w:t>
            </w:r>
          </w:p>
        </w:tc>
      </w:tr>
      <w:tr w14:paraId="5B77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74BDDBFE">
            <w:r>
              <w:rPr>
                <w:rFonts w:hint="eastAsia"/>
              </w:rPr>
              <w:t>9</w:t>
            </w:r>
          </w:p>
        </w:tc>
        <w:tc>
          <w:tcPr>
            <w:tcW w:w="9220" w:type="dxa"/>
          </w:tcPr>
          <w:p w14:paraId="1F3764D1">
            <w:r>
              <w:rPr>
                <w:rFonts w:hint="eastAsia"/>
              </w:rPr>
              <w:t>夹片装置：不卡片，不掉片；</w:t>
            </w:r>
          </w:p>
        </w:tc>
      </w:tr>
      <w:tr w14:paraId="4C6A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/>
          </w:tcPr>
          <w:p w14:paraId="2A462D8A">
            <w:r>
              <w:rPr>
                <w:rFonts w:hint="eastAsia"/>
              </w:rPr>
              <w:t>10</w:t>
            </w:r>
          </w:p>
        </w:tc>
        <w:tc>
          <w:tcPr>
            <w:tcW w:w="9220" w:type="dxa"/>
          </w:tcPr>
          <w:p w14:paraId="6952F7BE">
            <w:r>
              <w:rPr>
                <w:rFonts w:hint="eastAsia"/>
              </w:rPr>
              <w:t>具备0-9档调光功能；</w:t>
            </w:r>
          </w:p>
        </w:tc>
      </w:tr>
      <w:tr w14:paraId="2E13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5769FEC0">
            <w:r>
              <w:rPr>
                <w:rFonts w:hint="eastAsia"/>
              </w:rPr>
              <w:t>11</w:t>
            </w:r>
          </w:p>
        </w:tc>
        <w:tc>
          <w:tcPr>
            <w:tcW w:w="9220" w:type="dxa"/>
          </w:tcPr>
          <w:p w14:paraId="799BFF34">
            <w:r>
              <w:rPr>
                <w:rFonts w:hint="eastAsia"/>
              </w:rPr>
              <w:t>安装类型：壁挂式；</w:t>
            </w:r>
          </w:p>
        </w:tc>
      </w:tr>
      <w:tr w14:paraId="09D9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3990307E">
            <w:r>
              <w:rPr>
                <w:rFonts w:hint="eastAsia"/>
              </w:rPr>
              <w:t>12</w:t>
            </w:r>
          </w:p>
        </w:tc>
        <w:tc>
          <w:tcPr>
            <w:tcW w:w="9220" w:type="dxa"/>
          </w:tcPr>
          <w:p w14:paraId="4225B123">
            <w:r>
              <w:rPr>
                <w:rFonts w:hint="eastAsia"/>
              </w:rPr>
              <w:t>主要技术指标：符合国家最新颁布YY/T0610-2007行业标准。</w:t>
            </w:r>
          </w:p>
        </w:tc>
      </w:tr>
      <w:tr w14:paraId="214A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128F74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9220" w:type="dxa"/>
            <w:noWrap/>
          </w:tcPr>
          <w:p w14:paraId="170436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</w:t>
            </w:r>
          </w:p>
        </w:tc>
      </w:tr>
      <w:tr w14:paraId="3A20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36B3D3ED">
            <w:r>
              <w:rPr>
                <w:rFonts w:hint="eastAsia"/>
              </w:rPr>
              <w:t>1</w:t>
            </w:r>
          </w:p>
        </w:tc>
        <w:tc>
          <w:tcPr>
            <w:tcW w:w="9220" w:type="dxa"/>
            <w:noWrap/>
          </w:tcPr>
          <w:p w14:paraId="74C327AA">
            <w:r>
              <w:rPr>
                <w:rFonts w:hint="eastAsia"/>
              </w:rPr>
              <w:t>阅片灯20台</w:t>
            </w:r>
          </w:p>
        </w:tc>
      </w:tr>
      <w:tr w14:paraId="6479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4D5E42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9220" w:type="dxa"/>
            <w:noWrap/>
          </w:tcPr>
          <w:p w14:paraId="27CFD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响应文件中，以上所有技术条款需全部响应，否则做无效响应处理。</w:t>
            </w:r>
          </w:p>
        </w:tc>
      </w:tr>
      <w:tr w14:paraId="2239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5BE153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9220" w:type="dxa"/>
            <w:noWrap/>
          </w:tcPr>
          <w:p w14:paraId="37D7C3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</w:tr>
      <w:tr w14:paraId="53AA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40" w:type="dxa"/>
            <w:noWrap/>
          </w:tcPr>
          <w:p w14:paraId="0371D72D">
            <w:r>
              <w:rPr>
                <w:rFonts w:hint="eastAsia"/>
              </w:rPr>
              <w:t>（一）</w:t>
            </w:r>
          </w:p>
        </w:tc>
        <w:tc>
          <w:tcPr>
            <w:tcW w:w="9220" w:type="dxa"/>
          </w:tcPr>
          <w:p w14:paraId="684FC58E">
            <w:r>
              <w:rPr>
                <w:rFonts w:hint="eastAsia"/>
              </w:rPr>
              <w:t>付款方式：货物验收合格后一个月内支付合同总额的90%，余款10%在满三年付清；付款前供应商需提供相应金额发票。</w:t>
            </w:r>
          </w:p>
        </w:tc>
      </w:tr>
      <w:tr w14:paraId="1FD2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3274C4BA">
            <w:r>
              <w:rPr>
                <w:rFonts w:hint="eastAsia"/>
              </w:rPr>
              <w:t>（二）</w:t>
            </w:r>
          </w:p>
        </w:tc>
        <w:tc>
          <w:tcPr>
            <w:tcW w:w="9220" w:type="dxa"/>
            <w:noWrap/>
          </w:tcPr>
          <w:p w14:paraId="67BA3F2F">
            <w:r>
              <w:rPr>
                <w:rFonts w:hint="eastAsia"/>
              </w:rPr>
              <w:t>质保期：三年（包安装）</w:t>
            </w:r>
          </w:p>
        </w:tc>
      </w:tr>
      <w:tr w14:paraId="6266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140" w:type="dxa"/>
            <w:noWrap/>
          </w:tcPr>
          <w:p w14:paraId="36314F29">
            <w:r>
              <w:rPr>
                <w:rFonts w:hint="eastAsia"/>
              </w:rPr>
              <w:t>（三）</w:t>
            </w:r>
          </w:p>
        </w:tc>
        <w:tc>
          <w:tcPr>
            <w:tcW w:w="9220" w:type="dxa"/>
          </w:tcPr>
          <w:p w14:paraId="6E85A6C7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4、质量保证期期满后，中标供应商继续为采购人提供专业维修服务，由此发生的相关服务和备品备件费用由采购人承担；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6、中标供应商的其它售后服务承诺属于本合同的一部分，如果有不同约定的，以服务水平和层级更高的为准。</w:t>
            </w:r>
          </w:p>
        </w:tc>
      </w:tr>
      <w:tr w14:paraId="463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09638D5C">
            <w:r>
              <w:rPr>
                <w:rFonts w:hint="eastAsia"/>
              </w:rPr>
              <w:t>（四）</w:t>
            </w:r>
          </w:p>
        </w:tc>
        <w:tc>
          <w:tcPr>
            <w:tcW w:w="9220" w:type="dxa"/>
          </w:tcPr>
          <w:p w14:paraId="727810A0">
            <w:r>
              <w:rPr>
                <w:rFonts w:hint="eastAsia"/>
              </w:rPr>
              <w:t>验收时间：供应商提出验收申请日10个工作日内组织验收</w:t>
            </w:r>
          </w:p>
        </w:tc>
      </w:tr>
      <w:tr w14:paraId="66C7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1F07140D">
            <w:r>
              <w:rPr>
                <w:rFonts w:hint="eastAsia"/>
              </w:rPr>
              <w:t>（五）</w:t>
            </w:r>
          </w:p>
        </w:tc>
        <w:tc>
          <w:tcPr>
            <w:tcW w:w="9220" w:type="dxa"/>
            <w:noWrap/>
          </w:tcPr>
          <w:p w14:paraId="3BE5B106">
            <w:r>
              <w:rPr>
                <w:rFonts w:hint="eastAsia"/>
              </w:rPr>
              <w:t>验收内容：按照投标文件及合同内技术和商务要求进行履约</w:t>
            </w:r>
          </w:p>
        </w:tc>
      </w:tr>
      <w:tr w14:paraId="1F93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59069C95">
            <w:r>
              <w:rPr>
                <w:rFonts w:hint="eastAsia"/>
              </w:rPr>
              <w:t>（六）</w:t>
            </w:r>
          </w:p>
        </w:tc>
        <w:tc>
          <w:tcPr>
            <w:tcW w:w="9220" w:type="dxa"/>
            <w:noWrap/>
          </w:tcPr>
          <w:p w14:paraId="67198EF9">
            <w:r>
              <w:rPr>
                <w:rFonts w:hint="eastAsia"/>
              </w:rPr>
              <w:t>验收方法：一次性验收</w:t>
            </w:r>
          </w:p>
        </w:tc>
      </w:tr>
      <w:tr w14:paraId="0FD6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29203A04">
            <w:r>
              <w:rPr>
                <w:rFonts w:hint="eastAsia"/>
              </w:rPr>
              <w:t>（七）</w:t>
            </w:r>
          </w:p>
        </w:tc>
        <w:tc>
          <w:tcPr>
            <w:tcW w:w="9220" w:type="dxa"/>
            <w:noWrap/>
          </w:tcPr>
          <w:p w14:paraId="02225C5F">
            <w:r>
              <w:rPr>
                <w:rFonts w:hint="eastAsia"/>
              </w:rPr>
              <w:t>验收标准：以投标文件及合同为验收标准</w:t>
            </w:r>
          </w:p>
        </w:tc>
      </w:tr>
      <w:tr w14:paraId="706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noWrap/>
          </w:tcPr>
          <w:p w14:paraId="6C4B04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9220" w:type="dxa"/>
            <w:noWrap/>
          </w:tcPr>
          <w:p w14:paraId="251926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响应文件中，以上所有商务条款需全部响应，否则做无效响应处理。</w:t>
            </w:r>
          </w:p>
        </w:tc>
      </w:tr>
    </w:tbl>
    <w:p w14:paraId="32720DF1"/>
    <w:p w14:paraId="0063D1B1"/>
    <w:p w14:paraId="4EE60B7A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865AF5A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7D859D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BA432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15A26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12748E9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E80C75D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EAC1A05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BD88EA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5B205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5AEC9D4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D45575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805DCF2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70730A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ADD7D7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973F928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470817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BD58EB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02FF95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6D05C2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05F801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C8B67E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4175D5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13FB6FE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12672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AFF0ED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B51816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ACB8A2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5037F8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1588A91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C2C32D0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9153DEF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CE91DBA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B3F9AB"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EC742D1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58754BF1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2882985B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1514ECC2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4E50449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5C3553F4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492D15F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0BBD8CB5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76418484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1514ECF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779644C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3966AF9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568066F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57A04F8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6E7C57F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45D1859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53E06A0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02EBA7B5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26F2E3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192E53D4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0AF0140B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07364E7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1EC883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E31EA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78C35081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214D998A">
      <w:pPr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149D63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EBA58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C0455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84118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4A940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A270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8D87F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A1C633"/>
    <w:p w14:paraId="3D775819"/>
    <w:p w14:paraId="078E4541"/>
    <w:p w14:paraId="29957B05"/>
    <w:p w14:paraId="50A9B8DA">
      <w:pPr>
        <w:jc w:val="center"/>
      </w:pPr>
    </w:p>
    <w:p w14:paraId="48296ED7">
      <w:pPr>
        <w:jc w:val="lef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附件3：</w:t>
      </w:r>
    </w:p>
    <w:p w14:paraId="47F7B562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公平交易 诚实守信</w:t>
      </w:r>
    </w:p>
    <w:p w14:paraId="34A5D0EC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南昌市第一医院投标供应商廉洁承诺书</w:t>
      </w:r>
    </w:p>
    <w:p w14:paraId="2C903BFC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14:paraId="080174CF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0E125F5F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0C263D29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14:paraId="3BAE88EB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14:paraId="223E23D4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14:paraId="4E53D6CD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14:paraId="1C7007BF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074E4391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0C460426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投标公司：</w:t>
      </w:r>
    </w:p>
    <w:p w14:paraId="0DF1AD5B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595AA4C0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投标人签名：</w:t>
      </w:r>
    </w:p>
    <w:p w14:paraId="3ADCAB07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2E1843A5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20    年   月   日</w:t>
      </w:r>
    </w:p>
    <w:p w14:paraId="4D95DEAE">
      <w:pPr>
        <w:widowControl/>
        <w:ind w:firstLine="622" w:firstLineChars="200"/>
        <w:jc w:val="left"/>
        <w:rPr>
          <w:rFonts w:ascii="Calibri" w:hAnsi="Calibri" w:eastAsia="宋体" w:cs="Times New Roman"/>
          <w:b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436CEA24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14:paraId="0EAE3B2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14:paraId="4EE81946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14:paraId="41BF5969">
      <w:pPr>
        <w:widowControl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14:paraId="1FACF69A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14:paraId="55480107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14:paraId="0DE970AE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14:paraId="1230D7CE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14:paraId="47EC571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14:paraId="23A8723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14:paraId="1BBFF4AE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（十一）违反投标承诺或合同约定，提高价格、降低质量、拖延供货时间的不诚信行为； </w:t>
      </w:r>
    </w:p>
    <w:p w14:paraId="343B2E03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14:paraId="717421E1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7EEC0104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14:paraId="349679FC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14:paraId="2E6AF65B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14:paraId="7DCB212E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14:paraId="2643F16D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14:paraId="10829E75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</w:p>
    <w:p w14:paraId="28E69E12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</w:p>
    <w:p w14:paraId="437359BC"/>
    <w:p w14:paraId="5B08A54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1"/>
    <w:rsid w:val="00071167"/>
    <w:rsid w:val="00154D81"/>
    <w:rsid w:val="001730BA"/>
    <w:rsid w:val="001B0A16"/>
    <w:rsid w:val="001B246D"/>
    <w:rsid w:val="001B47E5"/>
    <w:rsid w:val="001C545B"/>
    <w:rsid w:val="001D7CD4"/>
    <w:rsid w:val="001D7FB2"/>
    <w:rsid w:val="001E2900"/>
    <w:rsid w:val="002203EC"/>
    <w:rsid w:val="00267583"/>
    <w:rsid w:val="002917D9"/>
    <w:rsid w:val="002E584C"/>
    <w:rsid w:val="003A711A"/>
    <w:rsid w:val="003D0C72"/>
    <w:rsid w:val="003E0F3E"/>
    <w:rsid w:val="00413805"/>
    <w:rsid w:val="004367DE"/>
    <w:rsid w:val="00460887"/>
    <w:rsid w:val="004860D1"/>
    <w:rsid w:val="004A0CAE"/>
    <w:rsid w:val="004B6801"/>
    <w:rsid w:val="004C368A"/>
    <w:rsid w:val="005472BD"/>
    <w:rsid w:val="005B37A9"/>
    <w:rsid w:val="005B4627"/>
    <w:rsid w:val="005F1B21"/>
    <w:rsid w:val="00641151"/>
    <w:rsid w:val="00663B80"/>
    <w:rsid w:val="006F223F"/>
    <w:rsid w:val="00710B0A"/>
    <w:rsid w:val="00767FA6"/>
    <w:rsid w:val="008513DD"/>
    <w:rsid w:val="00865D54"/>
    <w:rsid w:val="0088156B"/>
    <w:rsid w:val="00896941"/>
    <w:rsid w:val="00953566"/>
    <w:rsid w:val="00993227"/>
    <w:rsid w:val="009B767F"/>
    <w:rsid w:val="009F33C6"/>
    <w:rsid w:val="00A2406A"/>
    <w:rsid w:val="00A53069"/>
    <w:rsid w:val="00A574E6"/>
    <w:rsid w:val="00A8477A"/>
    <w:rsid w:val="00AB1171"/>
    <w:rsid w:val="00AD4053"/>
    <w:rsid w:val="00AE211F"/>
    <w:rsid w:val="00B97EAB"/>
    <w:rsid w:val="00BB0E63"/>
    <w:rsid w:val="00C30080"/>
    <w:rsid w:val="00C3474D"/>
    <w:rsid w:val="00CC0337"/>
    <w:rsid w:val="00CD7212"/>
    <w:rsid w:val="00CF68C9"/>
    <w:rsid w:val="00D016C5"/>
    <w:rsid w:val="00D3123B"/>
    <w:rsid w:val="00D3452F"/>
    <w:rsid w:val="00DA5873"/>
    <w:rsid w:val="00DA717C"/>
    <w:rsid w:val="00DB636C"/>
    <w:rsid w:val="00DF3937"/>
    <w:rsid w:val="00E1500F"/>
    <w:rsid w:val="00E30733"/>
    <w:rsid w:val="00E50F7A"/>
    <w:rsid w:val="00E53452"/>
    <w:rsid w:val="00EC6039"/>
    <w:rsid w:val="00F5534C"/>
    <w:rsid w:val="00FA342A"/>
    <w:rsid w:val="00FB21F0"/>
    <w:rsid w:val="56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1855</Words>
  <Characters>2109</Characters>
  <Lines>37</Lines>
  <Paragraphs>10</Paragraphs>
  <TotalTime>66</TotalTime>
  <ScaleCrop>false</ScaleCrop>
  <LinksUpToDate>false</LinksUpToDate>
  <CharactersWithSpaces>2112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2024-02-05T02:51:00Z</dcterms:created>
  <dc:creator>My</dc:creator>
  <cp:lastModifiedBy>张珊珊</cp:lastModifiedBy>
  <dcterms:modified xsi:type="dcterms:W3CDTF">2025-12-09T09:49:42Z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eyJoZGlkIjoiZGEwOGJlODQ1OTQwOTgxMDRjZmE4NDdlZDM4MTlkN2UiLCJ1c2VySWQiOiI1Mjc2MDU0NTkifQ==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8910C2664C894B23993AC02F346B744F_12</vt:lpwstr>
  </property>
</Properties>
</file>