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1A3C1">
      <w:pPr>
        <w:pStyle w:val="2"/>
        <w:spacing w:before="0" w:after="0"/>
        <w:rPr>
          <w:rFonts w:hint="eastAsia" w:ascii="宋体" w:hAnsi="宋体"/>
          <w:color w:val="000000"/>
          <w:sz w:val="24"/>
          <w:szCs w:val="24"/>
        </w:rPr>
      </w:pPr>
      <w:bookmarkStart w:id="0" w:name="_Toc6437"/>
      <w:bookmarkStart w:id="1" w:name="_Toc32165"/>
      <w:bookmarkStart w:id="2" w:name="_Toc21699"/>
      <w:bookmarkStart w:id="3" w:name="_Toc8467"/>
      <w:bookmarkStart w:id="4" w:name="_Toc6236"/>
      <w:bookmarkStart w:id="5" w:name="_Toc98514396"/>
      <w:r>
        <w:rPr>
          <w:rFonts w:hint="eastAsia" w:ascii="宋体" w:hAnsi="宋体"/>
          <w:color w:val="000000"/>
          <w:sz w:val="24"/>
          <w:szCs w:val="24"/>
        </w:rPr>
        <w:t>一、</w:t>
      </w:r>
      <w:bookmarkEnd w:id="0"/>
      <w:r>
        <w:rPr>
          <w:rFonts w:hint="eastAsia" w:ascii="宋体" w:hAnsi="宋体"/>
          <w:color w:val="000000"/>
          <w:sz w:val="24"/>
          <w:szCs w:val="24"/>
        </w:rPr>
        <w:t>采购清单</w:t>
      </w:r>
      <w:bookmarkEnd w:id="1"/>
      <w:bookmarkEnd w:id="2"/>
      <w:bookmarkEnd w:id="3"/>
      <w:bookmarkEnd w:id="4"/>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393"/>
        <w:gridCol w:w="504"/>
        <w:gridCol w:w="504"/>
        <w:gridCol w:w="1635"/>
        <w:gridCol w:w="2773"/>
      </w:tblGrid>
      <w:tr w14:paraId="4CBE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305" w:type="pct"/>
            <w:noWrap w:val="0"/>
            <w:vAlign w:val="center"/>
          </w:tcPr>
          <w:p w14:paraId="6969283B">
            <w:pPr>
              <w:spacing w:line="460" w:lineRule="exact"/>
              <w:jc w:val="center"/>
              <w:rPr>
                <w:rFonts w:hint="eastAsia" w:ascii="宋体" w:hAnsi="宋体" w:cs="宋体"/>
                <w:b/>
                <w:kern w:val="0"/>
                <w:sz w:val="24"/>
                <w:szCs w:val="24"/>
              </w:rPr>
            </w:pPr>
            <w:r>
              <w:rPr>
                <w:rFonts w:hint="eastAsia" w:ascii="宋体" w:hAnsi="宋体" w:cs="宋体"/>
                <w:b/>
                <w:kern w:val="0"/>
                <w:sz w:val="24"/>
                <w:szCs w:val="24"/>
              </w:rPr>
              <w:t>包号</w:t>
            </w:r>
          </w:p>
        </w:tc>
        <w:tc>
          <w:tcPr>
            <w:tcW w:w="1439" w:type="pct"/>
            <w:noWrap w:val="0"/>
            <w:vAlign w:val="center"/>
          </w:tcPr>
          <w:p w14:paraId="7E5AB5A1">
            <w:pPr>
              <w:spacing w:line="460" w:lineRule="exact"/>
              <w:jc w:val="center"/>
              <w:rPr>
                <w:rFonts w:ascii="宋体" w:hAnsi="宋体" w:cs="宋体"/>
                <w:b/>
                <w:kern w:val="0"/>
                <w:sz w:val="24"/>
                <w:szCs w:val="24"/>
              </w:rPr>
            </w:pPr>
            <w:r>
              <w:rPr>
                <w:rFonts w:hint="eastAsia" w:ascii="宋体" w:hAnsi="宋体" w:cs="宋体"/>
                <w:b/>
                <w:bCs/>
                <w:color w:val="000000"/>
                <w:kern w:val="0"/>
                <w:sz w:val="24"/>
                <w:szCs w:val="24"/>
              </w:rPr>
              <w:t>采购标的名称</w:t>
            </w:r>
          </w:p>
        </w:tc>
        <w:tc>
          <w:tcPr>
            <w:tcW w:w="303" w:type="pct"/>
            <w:noWrap w:val="0"/>
            <w:vAlign w:val="center"/>
          </w:tcPr>
          <w:p w14:paraId="4E70D387">
            <w:pPr>
              <w:spacing w:line="460" w:lineRule="exact"/>
              <w:jc w:val="center"/>
              <w:rPr>
                <w:rFonts w:hint="eastAsia" w:ascii="宋体" w:hAnsi="宋体" w:cs="宋体"/>
                <w:b/>
                <w:kern w:val="0"/>
                <w:sz w:val="24"/>
                <w:szCs w:val="24"/>
              </w:rPr>
            </w:pPr>
            <w:r>
              <w:rPr>
                <w:rFonts w:hint="eastAsia" w:ascii="宋体" w:hAnsi="宋体" w:cs="宋体"/>
                <w:b/>
                <w:kern w:val="0"/>
                <w:sz w:val="24"/>
                <w:szCs w:val="24"/>
              </w:rPr>
              <w:t>数量</w:t>
            </w:r>
          </w:p>
        </w:tc>
        <w:tc>
          <w:tcPr>
            <w:tcW w:w="303" w:type="pct"/>
            <w:noWrap w:val="0"/>
            <w:vAlign w:val="center"/>
          </w:tcPr>
          <w:p w14:paraId="0CF878E2">
            <w:pPr>
              <w:spacing w:line="460" w:lineRule="exact"/>
              <w:jc w:val="center"/>
              <w:rPr>
                <w:rFonts w:hint="eastAsia" w:ascii="宋体" w:hAnsi="宋体" w:cs="宋体"/>
                <w:b/>
                <w:kern w:val="0"/>
                <w:sz w:val="24"/>
                <w:szCs w:val="24"/>
              </w:rPr>
            </w:pPr>
            <w:r>
              <w:rPr>
                <w:rFonts w:hint="eastAsia" w:ascii="宋体" w:hAnsi="宋体" w:cs="宋体"/>
                <w:b/>
                <w:kern w:val="0"/>
                <w:sz w:val="24"/>
                <w:szCs w:val="24"/>
              </w:rPr>
              <w:t>单位</w:t>
            </w:r>
          </w:p>
        </w:tc>
        <w:tc>
          <w:tcPr>
            <w:tcW w:w="983" w:type="pct"/>
            <w:noWrap w:val="0"/>
            <w:vAlign w:val="center"/>
          </w:tcPr>
          <w:p w14:paraId="09B46A03">
            <w:pPr>
              <w:spacing w:line="460" w:lineRule="exact"/>
              <w:jc w:val="center"/>
              <w:rPr>
                <w:rFonts w:hint="eastAsia" w:ascii="宋体" w:hAnsi="宋体" w:cs="宋体"/>
                <w:b/>
                <w:kern w:val="0"/>
                <w:sz w:val="24"/>
                <w:szCs w:val="24"/>
              </w:rPr>
            </w:pPr>
            <w:r>
              <w:rPr>
                <w:rFonts w:hint="eastAsia" w:ascii="宋体" w:hAnsi="宋体" w:cs="宋体"/>
                <w:b/>
                <w:kern w:val="0"/>
                <w:sz w:val="24"/>
                <w:szCs w:val="24"/>
              </w:rPr>
              <w:t>单价最高限价</w:t>
            </w:r>
          </w:p>
          <w:p w14:paraId="08430602">
            <w:pPr>
              <w:spacing w:line="460" w:lineRule="exact"/>
              <w:jc w:val="center"/>
              <w:rPr>
                <w:rFonts w:hint="eastAsia" w:ascii="宋体" w:hAnsi="宋体" w:cs="宋体"/>
                <w:b/>
                <w:kern w:val="0"/>
                <w:sz w:val="24"/>
                <w:szCs w:val="24"/>
              </w:rPr>
            </w:pPr>
            <w:r>
              <w:rPr>
                <w:rFonts w:hint="eastAsia" w:ascii="宋体" w:hAnsi="宋体" w:cs="宋体"/>
                <w:b/>
                <w:kern w:val="0"/>
                <w:sz w:val="24"/>
                <w:szCs w:val="24"/>
              </w:rPr>
              <w:t xml:space="preserve">（人民币/元/人） </w:t>
            </w:r>
          </w:p>
        </w:tc>
        <w:tc>
          <w:tcPr>
            <w:tcW w:w="1667" w:type="pct"/>
            <w:noWrap w:val="0"/>
            <w:vAlign w:val="center"/>
          </w:tcPr>
          <w:p w14:paraId="1128D267">
            <w:pPr>
              <w:spacing w:line="460" w:lineRule="exact"/>
              <w:jc w:val="center"/>
              <w:rPr>
                <w:rFonts w:hint="eastAsia" w:ascii="宋体" w:hAnsi="宋体" w:cs="宋体"/>
                <w:b/>
                <w:kern w:val="0"/>
                <w:sz w:val="24"/>
                <w:szCs w:val="24"/>
              </w:rPr>
            </w:pPr>
            <w:r>
              <w:rPr>
                <w:rFonts w:hint="eastAsia" w:ascii="宋体" w:hAnsi="宋体" w:cs="宋体"/>
                <w:b/>
                <w:kern w:val="0"/>
                <w:sz w:val="24"/>
                <w:szCs w:val="24"/>
              </w:rPr>
              <w:t>备注</w:t>
            </w:r>
          </w:p>
        </w:tc>
      </w:tr>
      <w:tr w14:paraId="0636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jc w:val="center"/>
        </w:trPr>
        <w:tc>
          <w:tcPr>
            <w:tcW w:w="305" w:type="pct"/>
            <w:noWrap w:val="0"/>
            <w:vAlign w:val="center"/>
          </w:tcPr>
          <w:p w14:paraId="06D92BC2">
            <w:pPr>
              <w:spacing w:line="460" w:lineRule="exact"/>
              <w:jc w:val="center"/>
              <w:rPr>
                <w:rFonts w:hint="eastAsia" w:ascii="宋体" w:hAnsi="宋体" w:cs="宋体"/>
                <w:sz w:val="24"/>
                <w:szCs w:val="24"/>
              </w:rPr>
            </w:pPr>
            <w:r>
              <w:rPr>
                <w:rFonts w:hint="eastAsia" w:ascii="宋体" w:hAnsi="宋体" w:cs="宋体"/>
                <w:sz w:val="24"/>
                <w:szCs w:val="24"/>
              </w:rPr>
              <w:t>01包</w:t>
            </w:r>
          </w:p>
        </w:tc>
        <w:tc>
          <w:tcPr>
            <w:tcW w:w="1439" w:type="pct"/>
            <w:noWrap w:val="0"/>
            <w:vAlign w:val="center"/>
          </w:tcPr>
          <w:p w14:paraId="786D067A">
            <w:pPr>
              <w:widowControl/>
              <w:spacing w:line="460" w:lineRule="exact"/>
              <w:jc w:val="center"/>
              <w:rPr>
                <w:rFonts w:hint="eastAsia" w:ascii="宋体" w:hAnsi="宋体" w:cs="宋体"/>
                <w:bCs/>
                <w:kern w:val="0"/>
                <w:sz w:val="24"/>
                <w:szCs w:val="24"/>
              </w:rPr>
            </w:pPr>
            <w:r>
              <w:rPr>
                <w:rFonts w:hint="eastAsia" w:ascii="宋体" w:hAnsi="宋体" w:cs="宋体"/>
                <w:sz w:val="24"/>
                <w:szCs w:val="24"/>
              </w:rPr>
              <w:t>江西省航道工程局委托第三方外聘港口与航道一级建造师服务采购</w:t>
            </w:r>
          </w:p>
        </w:tc>
        <w:tc>
          <w:tcPr>
            <w:tcW w:w="303" w:type="pct"/>
            <w:noWrap w:val="0"/>
            <w:vAlign w:val="center"/>
          </w:tcPr>
          <w:p w14:paraId="6936C8E7">
            <w:pPr>
              <w:widowControl/>
              <w:spacing w:line="460" w:lineRule="exact"/>
              <w:jc w:val="center"/>
              <w:rPr>
                <w:rFonts w:hint="eastAsia" w:ascii="宋体" w:hAnsi="宋体" w:cs="宋体"/>
                <w:sz w:val="24"/>
                <w:szCs w:val="24"/>
              </w:rPr>
            </w:pPr>
            <w:r>
              <w:rPr>
                <w:rFonts w:hint="eastAsia" w:ascii="宋体" w:hAnsi="宋体" w:cs="宋体"/>
                <w:sz w:val="24"/>
                <w:szCs w:val="24"/>
              </w:rPr>
              <w:t>3</w:t>
            </w:r>
          </w:p>
        </w:tc>
        <w:tc>
          <w:tcPr>
            <w:tcW w:w="303" w:type="pct"/>
            <w:noWrap w:val="0"/>
            <w:vAlign w:val="center"/>
          </w:tcPr>
          <w:p w14:paraId="0042B553">
            <w:pPr>
              <w:widowControl/>
              <w:spacing w:line="460" w:lineRule="exact"/>
              <w:jc w:val="center"/>
              <w:rPr>
                <w:rFonts w:hint="eastAsia" w:ascii="宋体" w:hAnsi="宋体" w:cs="宋体"/>
                <w:sz w:val="24"/>
                <w:szCs w:val="24"/>
              </w:rPr>
            </w:pPr>
            <w:r>
              <w:rPr>
                <w:rFonts w:hint="eastAsia" w:ascii="宋体" w:hAnsi="宋体" w:cs="宋体"/>
                <w:sz w:val="24"/>
                <w:szCs w:val="24"/>
              </w:rPr>
              <w:t>人</w:t>
            </w:r>
          </w:p>
        </w:tc>
        <w:tc>
          <w:tcPr>
            <w:tcW w:w="983" w:type="pct"/>
            <w:noWrap w:val="0"/>
            <w:vAlign w:val="center"/>
          </w:tcPr>
          <w:p w14:paraId="4A6C66C7">
            <w:pPr>
              <w:spacing w:line="460" w:lineRule="exact"/>
              <w:jc w:val="center"/>
              <w:rPr>
                <w:rFonts w:hint="eastAsia" w:ascii="宋体" w:hAnsi="宋体" w:cs="宋体"/>
                <w:sz w:val="24"/>
                <w:szCs w:val="24"/>
              </w:rPr>
            </w:pPr>
            <w:r>
              <w:rPr>
                <w:rFonts w:hint="eastAsia" w:ascii="宋体" w:hAnsi="宋体" w:cs="宋体"/>
                <w:sz w:val="24"/>
                <w:szCs w:val="24"/>
              </w:rPr>
              <w:t>170000.00</w:t>
            </w:r>
          </w:p>
        </w:tc>
        <w:tc>
          <w:tcPr>
            <w:tcW w:w="1667" w:type="pct"/>
            <w:noWrap w:val="0"/>
            <w:vAlign w:val="center"/>
          </w:tcPr>
          <w:p w14:paraId="709566A7">
            <w:pPr>
              <w:widowControl/>
              <w:spacing w:line="460" w:lineRule="exact"/>
              <w:jc w:val="center"/>
              <w:rPr>
                <w:rFonts w:hint="eastAsia" w:ascii="宋体" w:hAnsi="宋体" w:cs="宋体"/>
                <w:sz w:val="24"/>
                <w:szCs w:val="24"/>
              </w:rPr>
            </w:pPr>
            <w:r>
              <w:rPr>
                <w:rFonts w:hint="eastAsia" w:ascii="宋体" w:hAnsi="宋体" w:cs="宋体"/>
                <w:b/>
                <w:bCs/>
                <w:sz w:val="24"/>
                <w:szCs w:val="24"/>
              </w:rPr>
              <w:t>包含12000（元/每人）【单位部分社保费，按实际社保政策核算，不作调整】及24000（元/每人）【人员工资】两项不可竞争费用，供应商需充分考量后报价。</w:t>
            </w:r>
          </w:p>
        </w:tc>
      </w:tr>
      <w:tr w14:paraId="5560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05" w:type="pct"/>
            <w:noWrap w:val="0"/>
            <w:vAlign w:val="center"/>
          </w:tcPr>
          <w:p w14:paraId="48AE701E">
            <w:pPr>
              <w:spacing w:line="460" w:lineRule="exact"/>
              <w:jc w:val="center"/>
              <w:rPr>
                <w:rFonts w:ascii="宋体" w:hAnsi="宋体" w:cs="宋体"/>
                <w:sz w:val="24"/>
                <w:szCs w:val="24"/>
              </w:rPr>
            </w:pPr>
            <w:r>
              <w:rPr>
                <w:rFonts w:hint="eastAsia" w:ascii="宋体" w:hAnsi="宋体" w:cs="宋体"/>
                <w:sz w:val="24"/>
                <w:szCs w:val="24"/>
              </w:rPr>
              <w:t>02包</w:t>
            </w:r>
          </w:p>
        </w:tc>
        <w:tc>
          <w:tcPr>
            <w:tcW w:w="1439" w:type="pct"/>
            <w:noWrap w:val="0"/>
            <w:vAlign w:val="center"/>
          </w:tcPr>
          <w:p w14:paraId="648FF902">
            <w:pPr>
              <w:widowControl/>
              <w:spacing w:line="460" w:lineRule="exact"/>
              <w:jc w:val="center"/>
              <w:rPr>
                <w:rFonts w:hint="eastAsia" w:ascii="宋体" w:hAnsi="宋体" w:cs="宋体"/>
                <w:sz w:val="24"/>
                <w:szCs w:val="24"/>
              </w:rPr>
            </w:pPr>
            <w:r>
              <w:rPr>
                <w:rFonts w:hint="eastAsia" w:ascii="宋体" w:hAnsi="宋体" w:cs="宋体"/>
                <w:sz w:val="24"/>
                <w:szCs w:val="24"/>
              </w:rPr>
              <w:t>江西省航道工程局委托第三方外聘港口与航道一级建造师服务采购</w:t>
            </w:r>
          </w:p>
        </w:tc>
        <w:tc>
          <w:tcPr>
            <w:tcW w:w="303" w:type="pct"/>
            <w:noWrap w:val="0"/>
            <w:vAlign w:val="center"/>
          </w:tcPr>
          <w:p w14:paraId="5ACF5B88">
            <w:pPr>
              <w:widowControl/>
              <w:spacing w:line="460" w:lineRule="exact"/>
              <w:jc w:val="center"/>
              <w:rPr>
                <w:rFonts w:hint="eastAsia" w:ascii="宋体" w:hAnsi="宋体" w:cs="宋体"/>
                <w:sz w:val="24"/>
                <w:szCs w:val="24"/>
              </w:rPr>
            </w:pPr>
            <w:r>
              <w:rPr>
                <w:rFonts w:hint="eastAsia" w:ascii="宋体" w:hAnsi="宋体" w:cs="宋体"/>
                <w:sz w:val="24"/>
                <w:szCs w:val="24"/>
              </w:rPr>
              <w:t>1</w:t>
            </w:r>
          </w:p>
        </w:tc>
        <w:tc>
          <w:tcPr>
            <w:tcW w:w="303" w:type="pct"/>
            <w:noWrap w:val="0"/>
            <w:vAlign w:val="center"/>
          </w:tcPr>
          <w:p w14:paraId="2250824C">
            <w:pPr>
              <w:widowControl/>
              <w:spacing w:line="460" w:lineRule="exact"/>
              <w:jc w:val="center"/>
              <w:rPr>
                <w:rFonts w:hint="eastAsia" w:ascii="宋体" w:hAnsi="宋体" w:cs="宋体"/>
                <w:sz w:val="24"/>
                <w:szCs w:val="24"/>
              </w:rPr>
            </w:pPr>
            <w:r>
              <w:rPr>
                <w:rFonts w:hint="eastAsia" w:ascii="宋体" w:hAnsi="宋体" w:cs="宋体"/>
                <w:sz w:val="24"/>
                <w:szCs w:val="24"/>
              </w:rPr>
              <w:t>人</w:t>
            </w:r>
          </w:p>
        </w:tc>
        <w:tc>
          <w:tcPr>
            <w:tcW w:w="983" w:type="pct"/>
            <w:noWrap w:val="0"/>
            <w:vAlign w:val="center"/>
          </w:tcPr>
          <w:p w14:paraId="03515496">
            <w:pPr>
              <w:spacing w:line="460" w:lineRule="exact"/>
              <w:jc w:val="center"/>
              <w:rPr>
                <w:rFonts w:hint="eastAsia" w:ascii="宋体" w:hAnsi="宋体" w:cs="宋体"/>
                <w:sz w:val="24"/>
                <w:szCs w:val="24"/>
              </w:rPr>
            </w:pPr>
            <w:r>
              <w:rPr>
                <w:rFonts w:hint="eastAsia" w:ascii="宋体" w:hAnsi="宋体" w:cs="宋体"/>
                <w:sz w:val="24"/>
                <w:szCs w:val="24"/>
              </w:rPr>
              <w:t>160000.00</w:t>
            </w:r>
          </w:p>
        </w:tc>
        <w:tc>
          <w:tcPr>
            <w:tcW w:w="1667" w:type="pct"/>
            <w:noWrap w:val="0"/>
            <w:vAlign w:val="center"/>
          </w:tcPr>
          <w:p w14:paraId="32D70159">
            <w:pPr>
              <w:widowControl/>
              <w:spacing w:line="460" w:lineRule="exact"/>
              <w:jc w:val="center"/>
              <w:rPr>
                <w:rFonts w:hint="eastAsia" w:ascii="宋体" w:hAnsi="宋体" w:cs="宋体"/>
                <w:b/>
                <w:bCs/>
                <w:sz w:val="24"/>
                <w:szCs w:val="24"/>
              </w:rPr>
            </w:pPr>
            <w:r>
              <w:rPr>
                <w:rFonts w:hint="eastAsia" w:ascii="宋体" w:hAnsi="宋体" w:cs="宋体"/>
                <w:b/>
                <w:bCs/>
                <w:sz w:val="24"/>
                <w:szCs w:val="24"/>
              </w:rPr>
              <w:t>包含 15000元/人【单位部分社保费，按实际社保政策核算，不作调整</w:t>
            </w:r>
            <w:r>
              <w:rPr>
                <w:rFonts w:hint="eastAsia" w:ascii="宋体" w:hAnsi="宋体" w:cs="宋体"/>
                <w:b/>
                <w:bCs/>
                <w:sz w:val="24"/>
                <w:szCs w:val="24"/>
                <w:lang w:eastAsia="zh-CN"/>
              </w:rPr>
              <w:t>】</w:t>
            </w:r>
            <w:r>
              <w:rPr>
                <w:rFonts w:hint="eastAsia" w:ascii="宋体" w:hAnsi="宋体" w:cs="宋体"/>
                <w:b/>
                <w:bCs/>
                <w:sz w:val="24"/>
                <w:szCs w:val="24"/>
              </w:rPr>
              <w:t>及 24000元/人（人员工资）两项不可竞争费用，供应商需充分考量后报价。</w:t>
            </w:r>
          </w:p>
        </w:tc>
      </w:tr>
    </w:tbl>
    <w:p w14:paraId="1B29053E">
      <w:pPr>
        <w:pStyle w:val="7"/>
        <w:ind w:firstLine="0" w:firstLineChars="0"/>
        <w:rPr>
          <w:rFonts w:hint="eastAsia" w:eastAsia="宋体"/>
          <w:lang w:eastAsia="zh-CN"/>
        </w:rPr>
      </w:pPr>
    </w:p>
    <w:p w14:paraId="66B04368">
      <w:pPr>
        <w:pStyle w:val="7"/>
        <w:ind w:firstLine="0" w:firstLineChars="0"/>
        <w:rPr>
          <w:rFonts w:hint="eastAsia" w:eastAsia="宋体"/>
          <w:lang w:eastAsia="zh-CN"/>
        </w:rPr>
      </w:pPr>
    </w:p>
    <w:p w14:paraId="56C34105">
      <w:pPr>
        <w:pStyle w:val="7"/>
        <w:ind w:firstLine="0" w:firstLineChars="0"/>
        <w:rPr>
          <w:rFonts w:hint="eastAsia" w:eastAsia="宋体"/>
          <w:lang w:eastAsia="zh-CN"/>
        </w:rPr>
      </w:pPr>
    </w:p>
    <w:p w14:paraId="3B4E93C7">
      <w:pPr>
        <w:pStyle w:val="7"/>
        <w:ind w:firstLine="0" w:firstLineChars="0"/>
        <w:rPr>
          <w:rFonts w:hint="eastAsia" w:eastAsia="宋体"/>
          <w:lang w:eastAsia="zh-CN"/>
        </w:rPr>
      </w:pPr>
    </w:p>
    <w:p w14:paraId="14AC00FC">
      <w:pPr>
        <w:pStyle w:val="7"/>
        <w:ind w:firstLine="0" w:firstLineChars="0"/>
        <w:rPr>
          <w:rFonts w:hint="eastAsia" w:eastAsia="宋体"/>
          <w:lang w:eastAsia="zh-CN"/>
        </w:rPr>
      </w:pPr>
    </w:p>
    <w:p w14:paraId="7753D1BE">
      <w:pPr>
        <w:pStyle w:val="2"/>
        <w:spacing w:before="0" w:after="0"/>
        <w:rPr>
          <w:rFonts w:hint="eastAsia" w:ascii="宋体" w:hAnsi="宋体"/>
          <w:color w:val="000000"/>
          <w:sz w:val="24"/>
          <w:szCs w:val="24"/>
        </w:rPr>
      </w:pPr>
      <w:bookmarkStart w:id="6" w:name="_Toc4631"/>
      <w:r>
        <w:rPr>
          <w:rFonts w:hint="eastAsia" w:ascii="宋体" w:hAnsi="宋体"/>
          <w:color w:val="000000"/>
          <w:sz w:val="24"/>
          <w:szCs w:val="24"/>
        </w:rPr>
        <w:br w:type="page"/>
      </w:r>
      <w:bookmarkStart w:id="7" w:name="_Toc14179"/>
      <w:r>
        <w:rPr>
          <w:rFonts w:hint="eastAsia" w:ascii="宋体" w:hAnsi="宋体"/>
          <w:color w:val="000000"/>
          <w:sz w:val="24"/>
          <w:szCs w:val="24"/>
        </w:rPr>
        <w:t>二、技术要求</w:t>
      </w:r>
      <w:bookmarkEnd w:id="5"/>
      <w:bookmarkEnd w:id="6"/>
      <w:bookmarkEnd w:id="7"/>
    </w:p>
    <w:p w14:paraId="6314299D">
      <w:pPr>
        <w:pStyle w:val="4"/>
        <w:spacing w:line="460" w:lineRule="exact"/>
        <w:ind w:firstLine="482" w:firstLineChars="200"/>
        <w:rPr>
          <w:rFonts w:ascii="宋体" w:hAnsi="宋体" w:cs="宋体"/>
          <w:b/>
          <w:bCs/>
        </w:rPr>
      </w:pPr>
      <w:r>
        <w:rPr>
          <w:rFonts w:hint="eastAsia" w:ascii="宋体" w:hAnsi="宋体" w:cs="宋体"/>
          <w:b/>
          <w:bCs/>
        </w:rPr>
        <w:t>01包：</w:t>
      </w:r>
    </w:p>
    <w:p w14:paraId="782FCDBB">
      <w:pPr>
        <w:pStyle w:val="4"/>
        <w:numPr>
          <w:ilvl w:val="0"/>
          <w:numId w:val="1"/>
        </w:numPr>
        <w:spacing w:line="460" w:lineRule="exact"/>
        <w:ind w:firstLine="480" w:firstLineChars="200"/>
        <w:rPr>
          <w:rFonts w:hint="eastAsia" w:ascii="宋体" w:hAnsi="宋体"/>
          <w:bCs/>
        </w:rPr>
      </w:pPr>
      <w:r>
        <w:rPr>
          <w:rFonts w:hint="eastAsia" w:ascii="宋体" w:hAnsi="宋体"/>
        </w:rPr>
        <w:t>人员要求：</w:t>
      </w:r>
      <w:r>
        <w:rPr>
          <w:rFonts w:hint="eastAsia" w:ascii="宋体" w:hAnsi="宋体" w:cs="宋体"/>
        </w:rPr>
        <w:t>江西省航道工程局委托第三方外聘港口与航道一级建造师服务采购项目，</w:t>
      </w:r>
      <w:r>
        <w:rPr>
          <w:rFonts w:hint="eastAsia" w:ascii="宋体" w:hAnsi="宋体"/>
        </w:rPr>
        <w:t>人员证书要求：有效的一级注册建造师</w:t>
      </w:r>
      <w:r>
        <w:rPr>
          <w:rFonts w:hint="eastAsia" w:ascii="宋体" w:hAnsi="宋体"/>
          <w:bCs/>
        </w:rPr>
        <w:t>（港口与航道工程专业）年龄不超过55岁。</w:t>
      </w:r>
    </w:p>
    <w:p w14:paraId="743400C6">
      <w:pPr>
        <w:pStyle w:val="4"/>
        <w:spacing w:line="460" w:lineRule="exact"/>
        <w:ind w:firstLine="480" w:firstLineChars="200"/>
        <w:rPr>
          <w:rFonts w:ascii="宋体" w:hAnsi="宋体"/>
        </w:rPr>
      </w:pPr>
      <w:r>
        <w:rPr>
          <w:rFonts w:hint="eastAsia" w:ascii="宋体" w:hAnsi="宋体"/>
        </w:rPr>
        <w:t>2、</w:t>
      </w:r>
      <w:r>
        <w:rPr>
          <w:rFonts w:ascii="宋体" w:hAnsi="宋体"/>
        </w:rPr>
        <w:t>自合同签订之日起</w:t>
      </w:r>
      <w:r>
        <w:rPr>
          <w:rFonts w:hint="eastAsia" w:ascii="宋体" w:hAnsi="宋体"/>
        </w:rPr>
        <w:t>7</w:t>
      </w:r>
      <w:r>
        <w:rPr>
          <w:rFonts w:ascii="宋体" w:hAnsi="宋体"/>
        </w:rPr>
        <w:t>日内，</w:t>
      </w:r>
      <w:r>
        <w:rPr>
          <w:rFonts w:hint="eastAsia" w:ascii="宋体" w:hAnsi="宋体"/>
        </w:rPr>
        <w:t>供应商</w:t>
      </w:r>
      <w:r>
        <w:rPr>
          <w:rFonts w:ascii="宋体" w:hAnsi="宋体"/>
        </w:rPr>
        <w:t>负责</w:t>
      </w:r>
      <w:r>
        <w:rPr>
          <w:rFonts w:hint="eastAsia" w:ascii="宋体" w:hAnsi="宋体"/>
        </w:rPr>
        <w:t>确保</w:t>
      </w:r>
      <w:r>
        <w:rPr>
          <w:rFonts w:ascii="宋体" w:hAnsi="宋体"/>
        </w:rPr>
        <w:t>一级建造师向行业主管部门提交完整的注册申请材料。</w:t>
      </w:r>
      <w:r>
        <w:rPr>
          <w:rFonts w:hint="eastAsia" w:ascii="宋体" w:hAnsi="宋体"/>
        </w:rPr>
        <w:t>供应商</w:t>
      </w:r>
      <w:r>
        <w:rPr>
          <w:rFonts w:ascii="宋体" w:hAnsi="宋体"/>
        </w:rPr>
        <w:t>需确保其推荐的一级建造师配合提供真实、有效且完整的注册材料（包括但不限于身份证、资格证书、学历证明等），</w:t>
      </w:r>
      <w:r>
        <w:rPr>
          <w:rFonts w:hint="eastAsia" w:ascii="宋体" w:hAnsi="宋体"/>
        </w:rPr>
        <w:t>一级</w:t>
      </w:r>
      <w:r>
        <w:rPr>
          <w:rFonts w:ascii="宋体" w:hAnsi="宋体"/>
        </w:rPr>
        <w:t>建造师需满足无犯罪记录、无在建工程、唯一社保</w:t>
      </w:r>
      <w:r>
        <w:rPr>
          <w:rFonts w:hint="eastAsia" w:ascii="宋体" w:hAnsi="宋体"/>
        </w:rPr>
        <w:t>、唯一任职</w:t>
      </w:r>
      <w:r>
        <w:rPr>
          <w:rFonts w:ascii="宋体" w:hAnsi="宋体"/>
        </w:rPr>
        <w:t>等注册要求。</w:t>
      </w:r>
    </w:p>
    <w:p w14:paraId="20F783C7">
      <w:pPr>
        <w:pStyle w:val="4"/>
        <w:spacing w:line="460" w:lineRule="exact"/>
        <w:ind w:firstLine="480" w:firstLineChars="200"/>
        <w:rPr>
          <w:rFonts w:hint="eastAsia" w:ascii="宋体" w:hAnsi="宋体"/>
          <w:bCs/>
        </w:rPr>
      </w:pPr>
      <w:r>
        <w:rPr>
          <w:rFonts w:hint="eastAsia" w:ascii="宋体" w:hAnsi="宋体"/>
        </w:rPr>
        <w:t>3、</w:t>
      </w:r>
      <w:r>
        <w:rPr>
          <w:rFonts w:ascii="宋体" w:hAnsi="宋体"/>
        </w:rPr>
        <w:t>一级建造师注册至</w:t>
      </w:r>
      <w:r>
        <w:rPr>
          <w:rFonts w:hint="eastAsia" w:ascii="宋体" w:hAnsi="宋体"/>
        </w:rPr>
        <w:t>江西省航道工程局</w:t>
      </w:r>
      <w:r>
        <w:rPr>
          <w:rFonts w:ascii="宋体" w:hAnsi="宋体"/>
        </w:rPr>
        <w:t>名下的整个聘用期内，</w:t>
      </w:r>
      <w:r>
        <w:rPr>
          <w:rFonts w:hint="eastAsia" w:ascii="宋体" w:hAnsi="宋体"/>
        </w:rPr>
        <w:t>供应商</w:t>
      </w:r>
      <w:r>
        <w:rPr>
          <w:rFonts w:ascii="宋体" w:hAnsi="宋体"/>
        </w:rPr>
        <w:t>应确保一级建造师</w:t>
      </w:r>
      <w:r>
        <w:rPr>
          <w:rFonts w:hint="eastAsia" w:ascii="宋体" w:hAnsi="宋体"/>
        </w:rPr>
        <w:t>：（1）</w:t>
      </w:r>
      <w:r>
        <w:rPr>
          <w:rFonts w:ascii="宋体" w:hAnsi="宋体"/>
        </w:rPr>
        <w:t>不得擅自</w:t>
      </w:r>
      <w:r>
        <w:rPr>
          <w:rFonts w:hint="eastAsia" w:ascii="宋体" w:hAnsi="宋体"/>
        </w:rPr>
        <w:t>离职；（2）不得擅自</w:t>
      </w:r>
      <w:r>
        <w:rPr>
          <w:rFonts w:ascii="宋体" w:hAnsi="宋体"/>
        </w:rPr>
        <w:t>申请注销</w:t>
      </w:r>
      <w:r>
        <w:rPr>
          <w:rFonts w:hint="eastAsia" w:ascii="宋体" w:hAnsi="宋体"/>
        </w:rPr>
        <w:t>注册；（3）不得</w:t>
      </w:r>
      <w:r>
        <w:rPr>
          <w:rFonts w:ascii="宋体" w:hAnsi="宋体"/>
        </w:rPr>
        <w:t>变更注册至第三方单位</w:t>
      </w:r>
      <w:r>
        <w:rPr>
          <w:rFonts w:hint="eastAsia" w:ascii="宋体" w:hAnsi="宋体"/>
        </w:rPr>
        <w:t>；（4）不得存在</w:t>
      </w:r>
      <w:r>
        <w:rPr>
          <w:rFonts w:ascii="宋体" w:hAnsi="宋体"/>
        </w:rPr>
        <w:t>兼职、</w:t>
      </w:r>
      <w:r>
        <w:rPr>
          <w:rFonts w:hint="eastAsia" w:ascii="宋体" w:hAnsi="宋体"/>
        </w:rPr>
        <w:t>挂多证等违法行为</w:t>
      </w:r>
      <w:r>
        <w:rPr>
          <w:rFonts w:ascii="宋体" w:hAnsi="宋体"/>
        </w:rPr>
        <w:t>。</w:t>
      </w:r>
    </w:p>
    <w:p w14:paraId="4B1CCB92">
      <w:pPr>
        <w:pStyle w:val="4"/>
        <w:spacing w:line="460" w:lineRule="exact"/>
        <w:ind w:firstLine="482" w:firstLineChars="200"/>
        <w:rPr>
          <w:rFonts w:hint="eastAsia" w:ascii="宋体" w:hAnsi="宋体" w:cs="宋体"/>
          <w:b/>
          <w:bCs/>
        </w:rPr>
      </w:pPr>
      <w:r>
        <w:rPr>
          <w:rFonts w:hint="eastAsia" w:ascii="宋体" w:hAnsi="宋体" w:cs="宋体"/>
          <w:b/>
          <w:bCs/>
        </w:rPr>
        <w:t>02包：</w:t>
      </w:r>
    </w:p>
    <w:p w14:paraId="3EFF3090">
      <w:pPr>
        <w:pStyle w:val="4"/>
        <w:spacing w:line="460" w:lineRule="exact"/>
        <w:ind w:firstLine="480" w:firstLineChars="200"/>
        <w:rPr>
          <w:rFonts w:hint="eastAsia" w:ascii="宋体" w:hAnsi="宋体"/>
          <w:bCs/>
        </w:rPr>
      </w:pPr>
      <w:r>
        <w:rPr>
          <w:rFonts w:hint="eastAsia" w:ascii="宋体" w:hAnsi="宋体" w:cs="宋体"/>
        </w:rPr>
        <w:t>1、</w:t>
      </w:r>
      <w:r>
        <w:rPr>
          <w:rFonts w:hint="eastAsia" w:ascii="宋体" w:hAnsi="宋体"/>
        </w:rPr>
        <w:t>人员要求：具备一级注册建造师</w:t>
      </w:r>
      <w:r>
        <w:rPr>
          <w:rFonts w:hint="eastAsia" w:ascii="宋体" w:hAnsi="宋体"/>
          <w:bCs/>
        </w:rPr>
        <w:t>（港口与航道工程专业）证书、</w:t>
      </w:r>
      <w:r>
        <w:rPr>
          <w:rFonts w:hint="eastAsia" w:ascii="宋体" w:hAnsi="宋体" w:cs="宋体"/>
        </w:rPr>
        <w:t>建筑施工企业项目负责人安全生产考核合格证书</w:t>
      </w:r>
      <w:r>
        <w:rPr>
          <w:rFonts w:hint="eastAsia" w:ascii="宋体" w:hAnsi="宋体"/>
          <w:bCs/>
        </w:rPr>
        <w:t>（B证）（证书上的单位名称须与供应商名称一致），年龄不超过55岁。</w:t>
      </w:r>
    </w:p>
    <w:p w14:paraId="3363E6C3">
      <w:pPr>
        <w:pStyle w:val="4"/>
        <w:spacing w:line="460" w:lineRule="exact"/>
        <w:ind w:firstLine="480" w:firstLineChars="200"/>
        <w:rPr>
          <w:rFonts w:ascii="宋体" w:hAnsi="宋体"/>
        </w:rPr>
      </w:pPr>
      <w:r>
        <w:rPr>
          <w:rFonts w:hint="eastAsia" w:ascii="宋体" w:hAnsi="宋体"/>
        </w:rPr>
        <w:t>2、</w:t>
      </w:r>
      <w:r>
        <w:rPr>
          <w:rFonts w:ascii="宋体" w:hAnsi="宋体"/>
        </w:rPr>
        <w:t>自合同签订之日起</w:t>
      </w:r>
      <w:r>
        <w:rPr>
          <w:rFonts w:hint="eastAsia" w:ascii="宋体" w:hAnsi="宋体"/>
        </w:rPr>
        <w:t>7</w:t>
      </w:r>
      <w:r>
        <w:rPr>
          <w:rFonts w:ascii="宋体" w:hAnsi="宋体"/>
        </w:rPr>
        <w:t>日内，</w:t>
      </w:r>
      <w:r>
        <w:rPr>
          <w:rFonts w:hint="eastAsia" w:ascii="宋体" w:hAnsi="宋体"/>
        </w:rPr>
        <w:t>供应商</w:t>
      </w:r>
      <w:r>
        <w:rPr>
          <w:rFonts w:ascii="宋体" w:hAnsi="宋体"/>
        </w:rPr>
        <w:t>负责</w:t>
      </w:r>
      <w:r>
        <w:rPr>
          <w:rFonts w:hint="eastAsia" w:ascii="宋体" w:hAnsi="宋体"/>
        </w:rPr>
        <w:t>确保</w:t>
      </w:r>
      <w:r>
        <w:rPr>
          <w:rFonts w:ascii="宋体" w:hAnsi="宋体"/>
        </w:rPr>
        <w:t>一级建造师向行业主管部门提交完整的注册申请材料。</w:t>
      </w:r>
      <w:r>
        <w:rPr>
          <w:rFonts w:hint="eastAsia" w:ascii="宋体" w:hAnsi="宋体"/>
        </w:rPr>
        <w:t>供应商</w:t>
      </w:r>
      <w:r>
        <w:rPr>
          <w:rFonts w:ascii="宋体" w:hAnsi="宋体"/>
        </w:rPr>
        <w:t>需确保其推荐的一级建造师配合提供真实、有效且完整的注册材料（包括但不限于身份证、资格证书、学历证明等），</w:t>
      </w:r>
      <w:r>
        <w:rPr>
          <w:rFonts w:hint="eastAsia" w:ascii="宋体" w:hAnsi="宋体"/>
        </w:rPr>
        <w:t>一级</w:t>
      </w:r>
      <w:r>
        <w:rPr>
          <w:rFonts w:ascii="宋体" w:hAnsi="宋体"/>
        </w:rPr>
        <w:t>建造师需满足无犯罪记录、无在建工程、唯一社保</w:t>
      </w:r>
      <w:r>
        <w:rPr>
          <w:rFonts w:hint="eastAsia" w:ascii="宋体" w:hAnsi="宋体"/>
        </w:rPr>
        <w:t>、唯一任职</w:t>
      </w:r>
      <w:r>
        <w:rPr>
          <w:rFonts w:ascii="宋体" w:hAnsi="宋体"/>
        </w:rPr>
        <w:t>等注册要求。</w:t>
      </w:r>
    </w:p>
    <w:p w14:paraId="512E58C0">
      <w:pPr>
        <w:pStyle w:val="4"/>
        <w:spacing w:line="460" w:lineRule="exact"/>
        <w:ind w:firstLine="480" w:firstLineChars="200"/>
        <w:rPr>
          <w:rFonts w:ascii="宋体" w:hAnsi="宋体" w:cs="宋体"/>
          <w:b/>
          <w:bCs/>
        </w:rPr>
      </w:pPr>
      <w:r>
        <w:rPr>
          <w:rFonts w:hint="eastAsia" w:ascii="宋体" w:hAnsi="宋体"/>
        </w:rPr>
        <w:t>3、</w:t>
      </w:r>
      <w:r>
        <w:rPr>
          <w:rFonts w:ascii="宋体" w:hAnsi="宋体"/>
        </w:rPr>
        <w:t>一级建造师注册至</w:t>
      </w:r>
      <w:r>
        <w:rPr>
          <w:rFonts w:hint="eastAsia" w:ascii="宋体" w:hAnsi="宋体"/>
        </w:rPr>
        <w:t>江西省航道工程局</w:t>
      </w:r>
      <w:r>
        <w:rPr>
          <w:rFonts w:ascii="宋体" w:hAnsi="宋体"/>
        </w:rPr>
        <w:t>名下的整个聘用期内，</w:t>
      </w:r>
      <w:r>
        <w:rPr>
          <w:rFonts w:hint="eastAsia" w:ascii="宋体" w:hAnsi="宋体"/>
        </w:rPr>
        <w:t>供应商</w:t>
      </w:r>
      <w:r>
        <w:rPr>
          <w:rFonts w:ascii="宋体" w:hAnsi="宋体"/>
        </w:rPr>
        <w:t>应确保一级建造师</w:t>
      </w:r>
      <w:r>
        <w:rPr>
          <w:rFonts w:hint="eastAsia" w:ascii="宋体" w:hAnsi="宋体"/>
        </w:rPr>
        <w:t>：（1）</w:t>
      </w:r>
      <w:r>
        <w:rPr>
          <w:rFonts w:ascii="宋体" w:hAnsi="宋体"/>
        </w:rPr>
        <w:t>不得擅自</w:t>
      </w:r>
      <w:r>
        <w:rPr>
          <w:rFonts w:hint="eastAsia" w:ascii="宋体" w:hAnsi="宋体"/>
        </w:rPr>
        <w:t>离职；（2）不得擅自</w:t>
      </w:r>
      <w:r>
        <w:rPr>
          <w:rFonts w:ascii="宋体" w:hAnsi="宋体"/>
        </w:rPr>
        <w:t>申请注销</w:t>
      </w:r>
      <w:r>
        <w:rPr>
          <w:rFonts w:hint="eastAsia" w:ascii="宋体" w:hAnsi="宋体"/>
        </w:rPr>
        <w:t>注册；（3）不得</w:t>
      </w:r>
      <w:r>
        <w:rPr>
          <w:rFonts w:ascii="宋体" w:hAnsi="宋体"/>
        </w:rPr>
        <w:t>变更注册至第三方单位</w:t>
      </w:r>
      <w:r>
        <w:rPr>
          <w:rFonts w:hint="eastAsia" w:ascii="宋体" w:hAnsi="宋体"/>
        </w:rPr>
        <w:t>；（4）不得存在</w:t>
      </w:r>
      <w:r>
        <w:rPr>
          <w:rFonts w:ascii="宋体" w:hAnsi="宋体"/>
        </w:rPr>
        <w:t>兼职、</w:t>
      </w:r>
      <w:r>
        <w:rPr>
          <w:rFonts w:hint="eastAsia" w:ascii="宋体" w:hAnsi="宋体"/>
        </w:rPr>
        <w:t>挂多证等违法行为</w:t>
      </w:r>
      <w:r>
        <w:rPr>
          <w:rFonts w:ascii="宋体" w:hAnsi="宋体"/>
        </w:rPr>
        <w:t>。</w:t>
      </w:r>
    </w:p>
    <w:p w14:paraId="73806C5E">
      <w:r>
        <w:rPr>
          <w:rFonts w:hint="eastAsia" w:ascii="宋体" w:hAnsi="宋体" w:cs="宋体"/>
          <w:b/>
          <w:bCs/>
          <w:sz w:val="24"/>
          <w:szCs w:val="24"/>
        </w:rPr>
        <w:t>注</w:t>
      </w:r>
      <w:r>
        <w:rPr>
          <w:rFonts w:hint="eastAsia" w:ascii="宋体" w:hAnsi="宋体"/>
          <w:b/>
          <w:sz w:val="24"/>
          <w:szCs w:val="24"/>
        </w:rPr>
        <w:t>：以上“技术要求”为实质性要求，供应商参与的包别内容必须完全满足，否则响应无效。</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57BB2"/>
    <w:multiLevelType w:val="singleLevel"/>
    <w:tmpl w:val="C7E57B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5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kern w:val="0"/>
      <w:sz w:val="20"/>
      <w:szCs w:val="20"/>
    </w:rPr>
  </w:style>
  <w:style w:type="paragraph" w:styleId="4">
    <w:name w:val="annotation text"/>
    <w:basedOn w:val="1"/>
    <w:qFormat/>
    <w:uiPriority w:val="0"/>
    <w:pPr>
      <w:jc w:val="left"/>
    </w:pPr>
    <w:rPr>
      <w:kern w:val="0"/>
      <w:sz w:val="24"/>
      <w:szCs w:val="24"/>
    </w:rPr>
  </w:style>
  <w:style w:type="paragraph" w:customStyle="1" w:styleId="7">
    <w:name w:val="Normal Indent1"/>
    <w:qFormat/>
    <w:uiPriority w:val="0"/>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2025-12-01T08:19:59Z</dcterms:created>
  <dc:creator>22497</dc:creator>
  <cp:lastModifiedBy>xx</cp:lastModifiedBy>
  <dcterms:modified xsi:type="dcterms:W3CDTF">2025-12-01T08:20:02Z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eyJoZGlkIjoiYWRmMGFmNjNhNTVjYWYwZWEyYTM1MmZmMDU5MWNlZGYiLCJ1c2VySWQiOiI1Mjc2MDU0NTkifQ==</vt:lpwstr>
  </property>
  <property fmtid="{D5CDD505-2E9C-101B-9397-08002B2CF9AE}" pid="4" name="ICV">
    <vt:lpwstr>9DAECDE4ABBB45F1B20F32DE640F897C_12</vt:lpwstr>
  </property>
</Properties>
</file>