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545CE">
      <w:pPr>
        <w:pStyle w:val="2"/>
        <w:spacing w:before="0" w:after="0" w:line="460" w:lineRule="exact"/>
        <w:ind w:firstLine="0"/>
        <w:rPr>
          <w:rFonts w:asciiTheme="majorEastAsia" w:hAnsiTheme="majorEastAsia" w:eastAsiaTheme="majorEastAsia" w:cstheme="majorEastAsia"/>
          <w:b w:val="0"/>
          <w:bCs/>
          <w:color w:val="000000" w:themeColor="text1"/>
          <w:szCs w:val="30"/>
          <w14:textFill>
            <w14:solidFill>
              <w14:schemeClr w14:val="tx1"/>
            </w14:solidFill>
          </w14:textFill>
        </w:rPr>
      </w:pPr>
      <w:bookmarkStart w:id="0" w:name="_Toc461530632"/>
      <w:r>
        <w:rPr>
          <w:rFonts w:hint="eastAsia" w:asciiTheme="majorEastAsia" w:hAnsiTheme="majorEastAsia" w:eastAsiaTheme="majorEastAsia" w:cstheme="majorEastAsia"/>
          <w:b w:val="0"/>
          <w:bCs/>
          <w:color w:val="000000" w:themeColor="text1"/>
          <w:szCs w:val="30"/>
          <w14:textFill>
            <w14:solidFill>
              <w14:schemeClr w14:val="tx1"/>
            </w14:solidFill>
          </w14:textFill>
        </w:rPr>
        <w:t>附件1：</w:t>
      </w:r>
    </w:p>
    <w:p w14:paraId="4B843E7B">
      <w:pPr>
        <w:pStyle w:val="2"/>
        <w:spacing w:before="0" w:after="0" w:line="460" w:lineRule="exact"/>
        <w:ind w:firstLine="0"/>
        <w:jc w:val="center"/>
        <w:rPr>
          <w:rFonts w:asciiTheme="majorEastAsia" w:hAnsiTheme="majorEastAsia" w:eastAsiaTheme="majorEastAsia" w:cstheme="majorEastAsia"/>
          <w:b w:val="0"/>
          <w:bCs/>
          <w:color w:val="000000" w:themeColor="text1"/>
          <w:szCs w:val="30"/>
          <w14:textFill>
            <w14:solidFill>
              <w14:schemeClr w14:val="tx1"/>
            </w14:solidFill>
          </w14:textFill>
        </w:rPr>
      </w:pPr>
      <w:r>
        <w:rPr>
          <w:rFonts w:hint="eastAsia" w:asciiTheme="majorEastAsia" w:hAnsiTheme="majorEastAsia" w:eastAsiaTheme="majorEastAsia" w:cstheme="majorEastAsia"/>
          <w:b w:val="0"/>
          <w:bCs/>
          <w:color w:val="000000" w:themeColor="text1"/>
          <w:szCs w:val="30"/>
          <w14:textFill>
            <w14:solidFill>
              <w14:schemeClr w14:val="tx1"/>
            </w14:solidFill>
          </w14:textFill>
        </w:rPr>
        <w:t>糖尿病慢病信息管理</w:t>
      </w:r>
      <w:bookmarkStart w:id="3" w:name="_GoBack"/>
      <w:bookmarkEnd w:id="3"/>
      <w:r>
        <w:rPr>
          <w:rFonts w:hint="eastAsia" w:asciiTheme="majorEastAsia" w:hAnsiTheme="majorEastAsia" w:eastAsiaTheme="majorEastAsia" w:cstheme="majorEastAsia"/>
          <w:b w:val="0"/>
          <w:bCs/>
          <w:color w:val="000000" w:themeColor="text1"/>
          <w:szCs w:val="30"/>
          <w14:textFill>
            <w14:solidFill>
              <w14:schemeClr w14:val="tx1"/>
            </w14:solidFill>
          </w14:textFill>
        </w:rPr>
        <w:t>系统项目</w:t>
      </w:r>
      <w:bookmarkEnd w:id="0"/>
      <w:r>
        <w:rPr>
          <w:rFonts w:hint="eastAsia" w:asciiTheme="majorEastAsia" w:hAnsiTheme="majorEastAsia" w:eastAsiaTheme="majorEastAsia" w:cstheme="majorEastAsia"/>
          <w:b w:val="0"/>
          <w:bCs/>
          <w:color w:val="000000" w:themeColor="text1"/>
          <w:szCs w:val="30"/>
          <w14:textFill>
            <w14:solidFill>
              <w14:schemeClr w14:val="tx1"/>
            </w14:solidFill>
          </w14:textFill>
        </w:rPr>
        <w:t>招标需求</w:t>
      </w:r>
    </w:p>
    <w:tbl>
      <w:tblPr>
        <w:tblStyle w:val="3"/>
        <w:tblpPr w:leftFromText="180" w:rightFromText="180" w:vertAnchor="text" w:horzAnchor="page" w:tblpX="1402" w:tblpY="174"/>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6245"/>
      </w:tblGrid>
      <w:tr w14:paraId="06B8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trPr>
        <w:tc>
          <w:tcPr>
            <w:tcW w:w="3050" w:type="dxa"/>
            <w:tcBorders>
              <w:top w:val="single" w:color="auto" w:sz="12" w:space="0"/>
              <w:left w:val="single" w:color="auto" w:sz="12" w:space="0"/>
              <w:bottom w:val="single" w:color="auto" w:sz="4" w:space="0"/>
              <w:right w:val="single" w:color="auto" w:sz="4" w:space="0"/>
            </w:tcBorders>
          </w:tcPr>
          <w:p w14:paraId="1C404C43">
            <w:pPr>
              <w:spacing w:line="360" w:lineRule="auto"/>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-51435</wp:posOffset>
                      </wp:positionH>
                      <wp:positionV relativeFrom="paragraph">
                        <wp:posOffset>6350</wp:posOffset>
                      </wp:positionV>
                      <wp:extent cx="1885950" cy="1355725"/>
                      <wp:effectExtent l="2540" t="3810" r="16510" b="12065"/>
                      <wp:wrapNone/>
                      <wp:docPr id="1713914003" name="组合 15"/>
                      <wp:cNvGraphicFramePr/>
                      <a:graphic xmlns:a="http://schemas.openxmlformats.org/drawingml/2006/main">
                        <a:graphicData uri="http://schemas.microsoft.com/office/word/2010/wordprocessingGroup">
                          <wpg:wgp>
                            <wpg:cNvGrpSpPr/>
                            <wpg:grpSpPr>
                              <a:xfrm>
                                <a:off x="0" y="0"/>
                                <a:ext cx="1885950" cy="1355725"/>
                                <a:chOff x="1716" y="3057"/>
                                <a:chExt cx="2805" cy="2330"/>
                              </a:xfrm>
                            </wpg:grpSpPr>
                            <wps:wsp>
                              <wps:cNvPr id="1444655201" name="直接连接符 7"/>
                              <wps:cNvCnPr/>
                              <wps:spPr>
                                <a:xfrm>
                                  <a:off x="1716" y="3057"/>
                                  <a:ext cx="2805" cy="2330"/>
                                </a:xfrm>
                                <a:prstGeom prst="line">
                                  <a:avLst/>
                                </a:prstGeom>
                                <a:ln w="6350" cap="flat" cmpd="sng">
                                  <a:solidFill>
                                    <a:srgbClr val="000000"/>
                                  </a:solidFill>
                                  <a:prstDash val="solid"/>
                                  <a:headEnd type="none" w="med" len="med"/>
                                  <a:tailEnd type="none" w="med" len="med"/>
                                </a:ln>
                              </wps:spPr>
                              <wps:bodyPr/>
                            </wps:wsp>
                            <wps:wsp>
                              <wps:cNvPr id="2049713027" name="文本框 9"/>
                              <wps:cNvSpPr txBox="1"/>
                              <wps:spPr>
                                <a:xfrm>
                                  <a:off x="2769" y="3199"/>
                                  <a:ext cx="300" cy="300"/>
                                </a:xfrm>
                                <a:prstGeom prst="rect">
                                  <a:avLst/>
                                </a:prstGeom>
                                <a:noFill/>
                                <a:ln>
                                  <a:noFill/>
                                </a:ln>
                              </wps:spPr>
                              <wps:txbx>
                                <w:txbxContent>
                                  <w:p w14:paraId="64DBCB9B">
                                    <w:pPr>
                                      <w:snapToGrid w:val="0"/>
                                      <w:rPr>
                                        <w:sz w:val="24"/>
                                      </w:rPr>
                                    </w:pPr>
                                    <w:r>
                                      <w:rPr>
                                        <w:rFonts w:hint="eastAsia"/>
                                        <w:sz w:val="24"/>
                                      </w:rPr>
                                      <w:t>项务</w:t>
                                    </w:r>
                                  </w:p>
                                </w:txbxContent>
                              </wps:txbx>
                              <wps:bodyPr wrap="square" lIns="0" tIns="0" rIns="0" bIns="0" anchor="t" anchorCtr="0" upright="1"/>
                            </wps:wsp>
                            <wps:wsp>
                              <wps:cNvPr id="864366002" name="文本框 10"/>
                              <wps:cNvSpPr txBox="1"/>
                              <wps:spPr>
                                <a:xfrm>
                                  <a:off x="3184" y="3544"/>
                                  <a:ext cx="300" cy="300"/>
                                </a:xfrm>
                                <a:prstGeom prst="rect">
                                  <a:avLst/>
                                </a:prstGeom>
                                <a:noFill/>
                                <a:ln>
                                  <a:noFill/>
                                </a:ln>
                              </wps:spPr>
                              <wps:txbx>
                                <w:txbxContent>
                                  <w:p w14:paraId="1EC8D184">
                                    <w:pPr>
                                      <w:snapToGrid w:val="0"/>
                                      <w:rPr>
                                        <w:sz w:val="24"/>
                                      </w:rPr>
                                    </w:pPr>
                                    <w:r>
                                      <w:rPr>
                                        <w:rFonts w:hint="eastAsia"/>
                                        <w:sz w:val="24"/>
                                      </w:rPr>
                                      <w:t>目</w:t>
                                    </w:r>
                                  </w:p>
                                </w:txbxContent>
                              </wps:txbx>
                              <wps:bodyPr wrap="square" lIns="0" tIns="0" rIns="0" bIns="0" anchor="t" anchorCtr="0" upright="1"/>
                            </wps:wsp>
                            <wps:wsp>
                              <wps:cNvPr id="424746676" name="文本框 11"/>
                              <wps:cNvSpPr txBox="1"/>
                              <wps:spPr>
                                <a:xfrm>
                                  <a:off x="3599" y="3888"/>
                                  <a:ext cx="300" cy="300"/>
                                </a:xfrm>
                                <a:prstGeom prst="rect">
                                  <a:avLst/>
                                </a:prstGeom>
                                <a:noFill/>
                                <a:ln>
                                  <a:noFill/>
                                </a:ln>
                              </wps:spPr>
                              <wps:txbx>
                                <w:txbxContent>
                                  <w:p w14:paraId="04945109">
                                    <w:pPr>
                                      <w:snapToGrid w:val="0"/>
                                      <w:rPr>
                                        <w:sz w:val="24"/>
                                      </w:rPr>
                                    </w:pPr>
                                    <w:r>
                                      <w:rPr>
                                        <w:rFonts w:hint="eastAsia"/>
                                        <w:sz w:val="24"/>
                                      </w:rPr>
                                      <w:t>名</w:t>
                                    </w:r>
                                  </w:p>
                                </w:txbxContent>
                              </wps:txbx>
                              <wps:bodyPr wrap="square" lIns="0" tIns="0" rIns="0" bIns="0" anchor="t" anchorCtr="0" upright="1"/>
                            </wps:wsp>
                            <wps:wsp>
                              <wps:cNvPr id="1187960648" name="文本框 12"/>
                              <wps:cNvSpPr txBox="1"/>
                              <wps:spPr>
                                <a:xfrm>
                                  <a:off x="4014" y="4233"/>
                                  <a:ext cx="300" cy="300"/>
                                </a:xfrm>
                                <a:prstGeom prst="rect">
                                  <a:avLst/>
                                </a:prstGeom>
                                <a:noFill/>
                                <a:ln>
                                  <a:noFill/>
                                </a:ln>
                              </wps:spPr>
                              <wps:txbx>
                                <w:txbxContent>
                                  <w:p w14:paraId="5C74176C">
                                    <w:pPr>
                                      <w:snapToGrid w:val="0"/>
                                      <w:rPr>
                                        <w:sz w:val="24"/>
                                      </w:rPr>
                                    </w:pPr>
                                    <w:r>
                                      <w:rPr>
                                        <w:rFonts w:hint="eastAsia"/>
                                        <w:sz w:val="24"/>
                                      </w:rPr>
                                      <w:t>称</w:t>
                                    </w:r>
                                  </w:p>
                                </w:txbxContent>
                              </wps:txbx>
                              <wps:bodyPr wrap="square" lIns="0" tIns="0" rIns="0" bIns="0" anchor="t" anchorCtr="0" upright="1"/>
                            </wps:wsp>
                            <wps:wsp>
                              <wps:cNvPr id="1487023383" name="文本框 13"/>
                              <wps:cNvSpPr txBox="1"/>
                              <wps:spPr>
                                <a:xfrm>
                                  <a:off x="2140" y="4061"/>
                                  <a:ext cx="300" cy="300"/>
                                </a:xfrm>
                                <a:prstGeom prst="rect">
                                  <a:avLst/>
                                </a:prstGeom>
                                <a:noFill/>
                                <a:ln>
                                  <a:noFill/>
                                </a:ln>
                              </wps:spPr>
                              <wps:txbx>
                                <w:txbxContent>
                                  <w:p w14:paraId="33215A37">
                                    <w:pPr>
                                      <w:snapToGrid w:val="0"/>
                                      <w:rPr>
                                        <w:sz w:val="24"/>
                                      </w:rPr>
                                    </w:pPr>
                                    <w:r>
                                      <w:rPr>
                                        <w:rFonts w:hint="eastAsia"/>
                                        <w:sz w:val="24"/>
                                      </w:rPr>
                                      <w:t>内</w:t>
                                    </w:r>
                                  </w:p>
                                </w:txbxContent>
                              </wps:txbx>
                              <wps:bodyPr wrap="square" lIns="0" tIns="0" rIns="0" bIns="0" anchor="t" anchorCtr="0" upright="1"/>
                            </wps:wsp>
                            <wps:wsp>
                              <wps:cNvPr id="1358783765" name="文本框 14"/>
                              <wps:cNvSpPr txBox="1"/>
                              <wps:spPr>
                                <a:xfrm>
                                  <a:off x="2987" y="4765"/>
                                  <a:ext cx="300" cy="300"/>
                                </a:xfrm>
                                <a:prstGeom prst="rect">
                                  <a:avLst/>
                                </a:prstGeom>
                                <a:noFill/>
                                <a:ln>
                                  <a:noFill/>
                                </a:ln>
                              </wps:spPr>
                              <wps:txbx>
                                <w:txbxContent>
                                  <w:p w14:paraId="6EC97A4B">
                                    <w:pPr>
                                      <w:snapToGrid w:val="0"/>
                                      <w:rPr>
                                        <w:sz w:val="24"/>
                                      </w:rPr>
                                    </w:pPr>
                                    <w:r>
                                      <w:rPr>
                                        <w:rFonts w:hint="eastAsia"/>
                                        <w:sz w:val="24"/>
                                      </w:rPr>
                                      <w:t>容</w:t>
                                    </w:r>
                                  </w:p>
                                </w:txbxContent>
                              </wps:txbx>
                              <wps:bodyPr wrap="square" lIns="0" tIns="0" rIns="0" bIns="0" anchor="t" anchorCtr="0" upright="1"/>
                            </wps:wsp>
                          </wpg:wgp>
                        </a:graphicData>
                      </a:graphic>
                    </wp:anchor>
                  </w:drawing>
                </mc:Choice>
                <mc:Fallback>
                  <w:pict>
                    <v:group id="组合 15" o:spid="_x0000_s1026" o:spt="203" style="position:absolute;left:0pt;margin-left:-4.05pt;margin-top:0.5pt;height:106.75pt;width:148.5pt;z-index:251659264;mso-width-relative:page;mso-height-relative:page;" coordorigin="1716,3057" coordsize="2805,2330" o:gfxdata="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N53M2NgAAAAIAQAADwAAAAAAAAABACAAAAAiAAAAZHJzL2Rvd25yZXYueG1sUEsBAhQAFAAAAAgA&#10;h07iQH/8BUC0AwAAtw8AAA4AAAAAAAAAAQAgAAAAJwEAAGRycy9lMm9Eb2MueG1sUEsFBgAAAAAG&#10;AAYAWQEAAE0HAAAAAA==&#10;">
                      <o:lock v:ext="edit" aspectratio="f"/>
                      <v:line id="直接连接符 7" o:spid="_x0000_s1026" o:spt="20" style="position:absolute;left:1716;top:3057;height:2330;width:2805;" filled="f" stroked="t" coordsize="21600,21600" o:gfxdata="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fCiu/&#10;AAAA4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shape id="文本框 9" o:spid="_x0000_s1026" o:spt="202" type="#_x0000_t202" style="position:absolute;left:2769;top:3199;height:300;width:300;" filled="f" stroked="f" coordsize="21600,21600" o:gfxdata="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3P+AD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64DBCB9B">
                              <w:pPr>
                                <w:snapToGrid w:val="0"/>
                                <w:rPr>
                                  <w:sz w:val="24"/>
                                </w:rPr>
                              </w:pPr>
                              <w:r>
                                <w:rPr>
                                  <w:rFonts w:hint="eastAsia"/>
                                  <w:sz w:val="24"/>
                                </w:rPr>
                                <w:t>项务</w:t>
                              </w:r>
                            </w:p>
                          </w:txbxContent>
                        </v:textbox>
                      </v:shape>
                      <v:shape id="文本框 10" o:spid="_x0000_s1026" o:spt="202" type="#_x0000_t202" style="position:absolute;left:3184;top:3544;height:300;width:300;" filled="f" stroked="f" coordsize="21600,21600" o:gfxdata="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x&#10;VXVTwwAAAOIAAAAPAAAAAAAAAAEAIAAAACIAAABkcnMvZG93bnJldi54bWxQSwECFAAUAAAACACH&#10;TuJAMy8FnjsAAAA5AAAAEAAAAAAAAAABACAAAAASAQAAZHJzL3NoYXBleG1sLnhtbFBLBQYAAAAA&#10;BgAGAFsBAAC8AwAAAAA=&#10;">
                        <v:fill on="f" focussize="0,0"/>
                        <v:stroke on="f"/>
                        <v:imagedata o:title=""/>
                        <o:lock v:ext="edit" aspectratio="f"/>
                        <v:textbox inset="0mm,0mm,0mm,0mm">
                          <w:txbxContent>
                            <w:p w14:paraId="1EC8D184">
                              <w:pPr>
                                <w:snapToGrid w:val="0"/>
                                <w:rPr>
                                  <w:sz w:val="24"/>
                                </w:rPr>
                              </w:pPr>
                              <w:r>
                                <w:rPr>
                                  <w:rFonts w:hint="eastAsia"/>
                                  <w:sz w:val="24"/>
                                </w:rPr>
                                <w:t>目</w:t>
                              </w:r>
                            </w:p>
                          </w:txbxContent>
                        </v:textbox>
                      </v:shape>
                      <v:shape id="文本框 11" o:spid="_x0000_s1026" o:spt="202" type="#_x0000_t202" style="position:absolute;left:3599;top:3888;height:300;width:300;" filled="f" stroked="f" coordsize="21600,21600" o:gfxdata="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RE0G8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04945109">
                              <w:pPr>
                                <w:snapToGrid w:val="0"/>
                                <w:rPr>
                                  <w:sz w:val="24"/>
                                </w:rPr>
                              </w:pPr>
                              <w:r>
                                <w:rPr>
                                  <w:rFonts w:hint="eastAsia"/>
                                  <w:sz w:val="24"/>
                                </w:rPr>
                                <w:t>名</w:t>
                              </w:r>
                            </w:p>
                          </w:txbxContent>
                        </v:textbox>
                      </v:shape>
                      <v:shape id="文本框 12" o:spid="_x0000_s1026" o:spt="202" type="#_x0000_t202" style="position:absolute;left:4014;top:4233;height:300;width:300;" filled="f" stroked="f" coordsize="21600,21600" o:gfxdata="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YVdmD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14:paraId="5C74176C">
                              <w:pPr>
                                <w:snapToGrid w:val="0"/>
                                <w:rPr>
                                  <w:sz w:val="24"/>
                                </w:rPr>
                              </w:pPr>
                              <w:r>
                                <w:rPr>
                                  <w:rFonts w:hint="eastAsia"/>
                                  <w:sz w:val="24"/>
                                </w:rPr>
                                <w:t>称</w:t>
                              </w:r>
                            </w:p>
                          </w:txbxContent>
                        </v:textbox>
                      </v:shape>
                      <v:shape id="文本框 13" o:spid="_x0000_s1026" o:spt="202" type="#_x0000_t202" style="position:absolute;left:2140;top:4061;height:300;width:300;" filled="f" stroked="f" coordsize="21600,21600" o:gfxdata="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IU&#10;jY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33215A37">
                              <w:pPr>
                                <w:snapToGrid w:val="0"/>
                                <w:rPr>
                                  <w:sz w:val="24"/>
                                </w:rPr>
                              </w:pPr>
                              <w:r>
                                <w:rPr>
                                  <w:rFonts w:hint="eastAsia"/>
                                  <w:sz w:val="24"/>
                                </w:rPr>
                                <w:t>内</w:t>
                              </w:r>
                            </w:p>
                          </w:txbxContent>
                        </v:textbox>
                      </v:shape>
                      <v:shape id="文本框 14" o:spid="_x0000_s1026" o:spt="202" type="#_x0000_t202" style="position:absolute;left:2987;top:4765;height:300;width:300;" filled="f" stroked="f" coordsize="21600,21600" o:gfxdata="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pm&#10;y3j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6EC97A4B">
                              <w:pPr>
                                <w:snapToGrid w:val="0"/>
                                <w:rPr>
                                  <w:sz w:val="24"/>
                                </w:rPr>
                              </w:pPr>
                              <w:r>
                                <w:rPr>
                                  <w:rFonts w:hint="eastAsia"/>
                                  <w:sz w:val="24"/>
                                </w:rPr>
                                <w:t>容</w:t>
                              </w:r>
                            </w:p>
                          </w:txbxContent>
                        </v:textbox>
                      </v:shape>
                    </v:group>
                  </w:pict>
                </mc:Fallback>
              </mc:AlternateContent>
            </w:r>
          </w:p>
        </w:tc>
        <w:tc>
          <w:tcPr>
            <w:tcW w:w="6245" w:type="dxa"/>
            <w:tcBorders>
              <w:top w:val="single" w:color="auto" w:sz="12" w:space="0"/>
              <w:left w:val="single" w:color="auto" w:sz="4" w:space="0"/>
              <w:bottom w:val="single" w:color="auto" w:sz="4" w:space="0"/>
              <w:right w:val="single" w:color="auto" w:sz="12" w:space="0"/>
            </w:tcBorders>
            <w:vAlign w:val="center"/>
          </w:tcPr>
          <w:p w14:paraId="462AD731">
            <w:pPr>
              <w:spacing w:line="360" w:lineRule="auto"/>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糖尿病慢病信息管理系统项目</w:t>
            </w:r>
          </w:p>
        </w:tc>
      </w:tr>
      <w:tr w14:paraId="6A98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3050" w:type="dxa"/>
            <w:tcBorders>
              <w:top w:val="single" w:color="auto" w:sz="4" w:space="0"/>
              <w:left w:val="single" w:color="auto" w:sz="12" w:space="0"/>
              <w:bottom w:val="single" w:color="auto" w:sz="4" w:space="0"/>
              <w:right w:val="single" w:color="auto" w:sz="4" w:space="0"/>
            </w:tcBorders>
            <w:vAlign w:val="center"/>
          </w:tcPr>
          <w:p w14:paraId="63900C6A">
            <w:pPr>
              <w:spacing w:line="900" w:lineRule="exact"/>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数量</w:t>
            </w:r>
          </w:p>
        </w:tc>
        <w:tc>
          <w:tcPr>
            <w:tcW w:w="6245" w:type="dxa"/>
            <w:tcBorders>
              <w:top w:val="single" w:color="auto" w:sz="4" w:space="0"/>
              <w:left w:val="single" w:color="auto" w:sz="4" w:space="0"/>
              <w:bottom w:val="single" w:color="auto" w:sz="4" w:space="0"/>
              <w:right w:val="single" w:color="auto" w:sz="12" w:space="0"/>
            </w:tcBorders>
            <w:vAlign w:val="center"/>
          </w:tcPr>
          <w:p w14:paraId="6505E122">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1套</w:t>
            </w:r>
          </w:p>
        </w:tc>
      </w:tr>
      <w:tr w14:paraId="0C36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3050" w:type="dxa"/>
            <w:tcBorders>
              <w:top w:val="single" w:color="auto" w:sz="4" w:space="0"/>
              <w:left w:val="single" w:color="auto" w:sz="12" w:space="0"/>
              <w:bottom w:val="single" w:color="auto" w:sz="4" w:space="0"/>
              <w:right w:val="single" w:color="auto" w:sz="4" w:space="0"/>
            </w:tcBorders>
            <w:vAlign w:val="center"/>
          </w:tcPr>
          <w:p w14:paraId="00C6AD89">
            <w:pPr>
              <w:spacing w:line="900" w:lineRule="exact"/>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免费维保期</w:t>
            </w:r>
          </w:p>
        </w:tc>
        <w:tc>
          <w:tcPr>
            <w:tcW w:w="6245" w:type="dxa"/>
            <w:tcBorders>
              <w:top w:val="single" w:color="auto" w:sz="4" w:space="0"/>
              <w:left w:val="single" w:color="auto" w:sz="4" w:space="0"/>
              <w:bottom w:val="single" w:color="auto" w:sz="4" w:space="0"/>
              <w:right w:val="single" w:color="auto" w:sz="12" w:space="0"/>
            </w:tcBorders>
            <w:vAlign w:val="center"/>
          </w:tcPr>
          <w:p w14:paraId="64018926">
            <w:pPr>
              <w:spacing w:line="900" w:lineRule="exact"/>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自验收之日起两年</w:t>
            </w:r>
          </w:p>
        </w:tc>
      </w:tr>
      <w:tr w14:paraId="6DA9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3050" w:type="dxa"/>
            <w:tcBorders>
              <w:top w:val="single" w:color="auto" w:sz="4" w:space="0"/>
              <w:left w:val="single" w:color="auto" w:sz="12" w:space="0"/>
              <w:bottom w:val="single" w:color="auto" w:sz="4" w:space="0"/>
              <w:right w:val="single" w:color="auto" w:sz="4" w:space="0"/>
            </w:tcBorders>
            <w:vAlign w:val="center"/>
          </w:tcPr>
          <w:p w14:paraId="70C76383">
            <w:pPr>
              <w:spacing w:line="900" w:lineRule="exact"/>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服务地点</w:t>
            </w:r>
          </w:p>
        </w:tc>
        <w:tc>
          <w:tcPr>
            <w:tcW w:w="6245" w:type="dxa"/>
            <w:tcBorders>
              <w:top w:val="single" w:color="auto" w:sz="4" w:space="0"/>
              <w:left w:val="single" w:color="auto" w:sz="4" w:space="0"/>
              <w:bottom w:val="single" w:color="auto" w:sz="4" w:space="0"/>
              <w:right w:val="single" w:color="auto" w:sz="12" w:space="0"/>
            </w:tcBorders>
            <w:vAlign w:val="center"/>
          </w:tcPr>
          <w:p w14:paraId="6F2D9EF6">
            <w:pPr>
              <w:spacing w:line="900" w:lineRule="exact"/>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医院指定地点</w:t>
            </w:r>
          </w:p>
        </w:tc>
      </w:tr>
    </w:tbl>
    <w:p w14:paraId="7F302168">
      <w:pPr>
        <w:rPr>
          <w:rFonts w:asciiTheme="majorEastAsia" w:hAnsiTheme="majorEastAsia" w:eastAsiaTheme="majorEastAsia" w:cstheme="majorEastAsia"/>
          <w:b/>
          <w:color w:val="000000" w:themeColor="text1"/>
          <w:sz w:val="30"/>
          <w14:textFill>
            <w14:solidFill>
              <w14:schemeClr w14:val="tx1"/>
            </w14:solidFill>
          </w14:textFill>
        </w:rPr>
      </w:pPr>
      <w:r>
        <w:rPr>
          <w:rFonts w:hint="eastAsia" w:asciiTheme="majorEastAsia" w:hAnsiTheme="majorEastAsia" w:eastAsiaTheme="majorEastAsia" w:cstheme="majorEastAsia"/>
          <w:b/>
          <w:color w:val="000000" w:themeColor="text1"/>
          <w:sz w:val="30"/>
          <w14:textFill>
            <w14:solidFill>
              <w14:schemeClr w14:val="tx1"/>
            </w14:solidFill>
          </w14:textFill>
        </w:rPr>
        <w:t>一、技术要求</w:t>
      </w:r>
    </w:p>
    <w:tbl>
      <w:tblPr>
        <w:tblStyle w:val="3"/>
        <w:tblW w:w="548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368"/>
        <w:gridCol w:w="7129"/>
      </w:tblGrid>
      <w:tr w14:paraId="37ED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59" w:type="pct"/>
            <w:vAlign w:val="center"/>
          </w:tcPr>
          <w:p w14:paraId="4BB08975">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b/>
                <w:bCs/>
                <w:color w:val="000000" w:themeColor="text1"/>
                <w:szCs w:val="20"/>
                <w14:textFill>
                  <w14:solidFill>
                    <w14:schemeClr w14:val="tx1"/>
                  </w14:solidFill>
                </w14:textFill>
              </w:rPr>
              <w:t>序号</w:t>
            </w:r>
          </w:p>
        </w:tc>
        <w:tc>
          <w:tcPr>
            <w:tcW w:w="731" w:type="pct"/>
            <w:vAlign w:val="center"/>
          </w:tcPr>
          <w:p w14:paraId="3226E632">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b/>
                <w:bCs/>
                <w:color w:val="000000" w:themeColor="text1"/>
                <w:szCs w:val="20"/>
                <w14:textFill>
                  <w14:solidFill>
                    <w14:schemeClr w14:val="tx1"/>
                  </w14:solidFill>
                </w14:textFill>
              </w:rPr>
              <w:t>建设内容</w:t>
            </w:r>
          </w:p>
        </w:tc>
        <w:tc>
          <w:tcPr>
            <w:tcW w:w="3810" w:type="pct"/>
            <w:vAlign w:val="center"/>
          </w:tcPr>
          <w:p w14:paraId="4AFEA877">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b/>
                <w:bCs/>
                <w:color w:val="000000" w:themeColor="text1"/>
                <w:szCs w:val="20"/>
                <w14:textFill>
                  <w14:solidFill>
                    <w14:schemeClr w14:val="tx1"/>
                  </w14:solidFill>
                </w14:textFill>
              </w:rPr>
              <w:t>技术要求</w:t>
            </w:r>
          </w:p>
        </w:tc>
      </w:tr>
      <w:tr w14:paraId="1AA9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13AA039E">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53D4A70C">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部署架构</w:t>
            </w:r>
          </w:p>
        </w:tc>
        <w:tc>
          <w:tcPr>
            <w:tcW w:w="3810" w:type="pct"/>
            <w:vAlign w:val="center"/>
          </w:tcPr>
          <w:p w14:paraId="53B5E44A">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b/>
                <w:bCs/>
                <w:color w:val="000000" w:themeColor="text1"/>
                <w:szCs w:val="20"/>
                <w14:textFill>
                  <w14:solidFill>
                    <w14:schemeClr w14:val="tx1"/>
                  </w14:solidFill>
                </w14:textFill>
              </w:rPr>
              <w:t>-</w:t>
            </w:r>
            <w:r>
              <w:rPr>
                <w:rFonts w:hint="eastAsia" w:asciiTheme="majorEastAsia" w:hAnsiTheme="majorEastAsia" w:eastAsiaTheme="majorEastAsia" w:cstheme="majorEastAsia"/>
                <w:color w:val="000000" w:themeColor="text1"/>
                <w:szCs w:val="20"/>
                <w14:textFill>
                  <w14:solidFill>
                    <w14:schemeClr w14:val="tx1"/>
                  </w14:solidFill>
                </w14:textFill>
              </w:rPr>
              <w:t>云平台部署，达到三级等保测评要求，支持弹性扩展。-</w:t>
            </w:r>
          </w:p>
        </w:tc>
      </w:tr>
      <w:tr w14:paraId="2C5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599DE2EF">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4E31CC3">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系统架构</w:t>
            </w:r>
          </w:p>
        </w:tc>
        <w:tc>
          <w:tcPr>
            <w:tcW w:w="3810" w:type="pct"/>
            <w:vAlign w:val="center"/>
          </w:tcPr>
          <w:p w14:paraId="34D6AF94">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采用B/S架构，前端Vue/React，后端Java Spring Boot或Python Django框架。</w:t>
            </w:r>
          </w:p>
        </w:tc>
      </w:tr>
      <w:tr w14:paraId="230F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7A91B956">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235A0CAD">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数据库</w:t>
            </w:r>
          </w:p>
        </w:tc>
        <w:tc>
          <w:tcPr>
            <w:tcW w:w="3810" w:type="pct"/>
            <w:vAlign w:val="center"/>
          </w:tcPr>
          <w:p w14:paraId="178DC01D">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采用MySQL/PostgreSQL数据库，支持数据加密存储和异地容灾备份。</w:t>
            </w:r>
          </w:p>
        </w:tc>
      </w:tr>
      <w:tr w14:paraId="1A1D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1AA28683">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6EBBCD56">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网络安全</w:t>
            </w:r>
          </w:p>
        </w:tc>
        <w:tc>
          <w:tcPr>
            <w:tcW w:w="3810" w:type="pct"/>
            <w:vAlign w:val="center"/>
          </w:tcPr>
          <w:p w14:paraId="1EFC1336">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提供全程HTTPS传输，满足国家数据安全合规要求，内置防火墙与访问控制策略。</w:t>
            </w:r>
          </w:p>
        </w:tc>
      </w:tr>
      <w:tr w14:paraId="578C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15F16792">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5F62AD0C">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移动端支持</w:t>
            </w:r>
          </w:p>
        </w:tc>
        <w:tc>
          <w:tcPr>
            <w:tcW w:w="3810" w:type="pct"/>
            <w:vAlign w:val="center"/>
          </w:tcPr>
          <w:p w14:paraId="49F4B2A7">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-移动端支持微信小程序或H5方式访问，操作延迟不超过2秒，支持扫码快速访问。</w:t>
            </w:r>
            <w:r>
              <w:rPr>
                <w:rFonts w:hint="eastAsia" w:asciiTheme="majorEastAsia" w:hAnsiTheme="majorEastAsia" w:eastAsiaTheme="majorEastAsia" w:cstheme="majorEastAsia"/>
                <w:b/>
                <w:bCs/>
                <w:color w:val="000000" w:themeColor="text1"/>
                <w:szCs w:val="20"/>
                <w14:textFill>
                  <w14:solidFill>
                    <w14:schemeClr w14:val="tx1"/>
                  </w14:solidFill>
                </w14:textFill>
              </w:rPr>
              <w:t>-</w:t>
            </w:r>
          </w:p>
        </w:tc>
      </w:tr>
      <w:tr w14:paraId="2731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65965EF8">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57A66B3A">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糖尿病档案管理</w:t>
            </w:r>
          </w:p>
        </w:tc>
        <w:tc>
          <w:tcPr>
            <w:tcW w:w="3810" w:type="pct"/>
            <w:vAlign w:val="center"/>
          </w:tcPr>
          <w:p w14:paraId="4C655CCB">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建立并动态更新电子健康档案，详细记录个人基本信息（包括年龄、性别、家族病史、生活习惯等）、既往病史及体检结果等。支持居民健康档案、实现医院现有的MMC系统平台数据对接，支持MMC系统数据导入、动态更新和数据导出。支持家庭医生健康服务检测数据将通过信息化系统实时上传至电子健康档案，确保健康管理的连续性和精准性。</w:t>
            </w:r>
            <w:r>
              <w:rPr>
                <w:rFonts w:hint="eastAsia" w:asciiTheme="majorEastAsia" w:hAnsiTheme="majorEastAsia" w:eastAsiaTheme="majorEastAsia" w:cstheme="majorEastAsia"/>
                <w:b/>
                <w:bCs/>
                <w:color w:val="000000" w:themeColor="text1"/>
                <w:szCs w:val="20"/>
                <w14:textFill>
                  <w14:solidFill>
                    <w14:schemeClr w14:val="tx1"/>
                  </w14:solidFill>
                </w14:textFill>
              </w:rPr>
              <w:t>-</w:t>
            </w:r>
          </w:p>
        </w:tc>
      </w:tr>
      <w:tr w14:paraId="5526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2A296075">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6BBD136D">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风险评估模块</w:t>
            </w:r>
          </w:p>
        </w:tc>
        <w:tc>
          <w:tcPr>
            <w:tcW w:w="3810" w:type="pct"/>
            <w:vAlign w:val="center"/>
          </w:tcPr>
          <w:p w14:paraId="5BF7789C">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-支持自定义糖尿病风险评估问卷，目标人群在信息平台中填写《南昌市糖尿病风险评估表》，收集</w:t>
            </w:r>
            <w:r>
              <w:rPr>
                <w:rFonts w:hint="eastAsia" w:asciiTheme="majorEastAsia" w:hAnsiTheme="majorEastAsia" w:eastAsiaTheme="majorEastAsia" w:cstheme="majorEastAsia"/>
                <w:color w:val="000000" w:themeColor="text1"/>
                <w:szCs w:val="20"/>
                <w:lang w:val="zh-CN"/>
                <w14:textFill>
                  <w14:solidFill>
                    <w14:schemeClr w14:val="tx1"/>
                  </w14:solidFill>
                </w14:textFill>
              </w:rPr>
              <w:t>目标人群</w:t>
            </w:r>
            <w:r>
              <w:rPr>
                <w:rFonts w:hint="eastAsia" w:asciiTheme="majorEastAsia" w:hAnsiTheme="majorEastAsia" w:eastAsiaTheme="majorEastAsia" w:cstheme="majorEastAsia"/>
                <w:color w:val="000000" w:themeColor="text1"/>
                <w:szCs w:val="20"/>
                <w14:textFill>
                  <w14:solidFill>
                    <w14:schemeClr w14:val="tx1"/>
                  </w14:solidFill>
                </w14:textFill>
              </w:rPr>
              <w:t>基本信息、生活方式、既往疾病史、家族史、用药史、体格检查等</w:t>
            </w:r>
            <w:r>
              <w:rPr>
                <w:rFonts w:hint="eastAsia" w:asciiTheme="majorEastAsia" w:hAnsiTheme="majorEastAsia" w:eastAsiaTheme="majorEastAsia" w:cstheme="majorEastAsia"/>
                <w:color w:val="000000" w:themeColor="text1"/>
                <w:szCs w:val="20"/>
                <w:lang w:val="zh-CN"/>
                <w14:textFill>
                  <w14:solidFill>
                    <w14:schemeClr w14:val="tx1"/>
                  </w14:solidFill>
                </w14:textFill>
              </w:rPr>
              <w:t>内容</w:t>
            </w:r>
            <w:r>
              <w:rPr>
                <w:rFonts w:hint="eastAsia" w:asciiTheme="majorEastAsia" w:hAnsiTheme="majorEastAsia" w:eastAsiaTheme="majorEastAsia" w:cstheme="majorEastAsia"/>
                <w:color w:val="000000" w:themeColor="text1"/>
                <w:szCs w:val="20"/>
                <w14:textFill>
                  <w14:solidFill>
                    <w14:schemeClr w14:val="tx1"/>
                  </w14:solidFill>
                </w14:textFill>
              </w:rPr>
              <w:t>，通过</w:t>
            </w:r>
            <w:r>
              <w:rPr>
                <w:rFonts w:hint="eastAsia" w:asciiTheme="majorEastAsia" w:hAnsiTheme="majorEastAsia" w:eastAsiaTheme="majorEastAsia" w:cstheme="majorEastAsia"/>
                <w:color w:val="000000" w:themeColor="text1"/>
                <w:szCs w:val="20"/>
                <w:lang w:val="zh-CN"/>
                <w14:textFill>
                  <w14:solidFill>
                    <w14:schemeClr w14:val="tx1"/>
                  </w14:solidFill>
                </w14:textFill>
              </w:rPr>
              <w:t>问卷调查进行风险</w:t>
            </w:r>
            <w:r>
              <w:rPr>
                <w:rFonts w:hint="eastAsia" w:asciiTheme="majorEastAsia" w:hAnsiTheme="majorEastAsia" w:eastAsiaTheme="majorEastAsia" w:cstheme="majorEastAsia"/>
                <w:color w:val="000000" w:themeColor="text1"/>
                <w:szCs w:val="20"/>
                <w14:textFill>
                  <w14:solidFill>
                    <w14:schemeClr w14:val="tx1"/>
                  </w14:solidFill>
                </w14:textFill>
              </w:rPr>
              <w:t>评估,建立智能筛选机制，自动评分、分类与高危人群识别。</w:t>
            </w:r>
            <w:r>
              <w:rPr>
                <w:rFonts w:hint="eastAsia" w:asciiTheme="majorEastAsia" w:hAnsiTheme="majorEastAsia" w:eastAsiaTheme="majorEastAsia" w:cstheme="majorEastAsia"/>
                <w:b/>
                <w:bCs/>
                <w:color w:val="000000" w:themeColor="text1"/>
                <w:szCs w:val="20"/>
                <w14:textFill>
                  <w14:solidFill>
                    <w14:schemeClr w14:val="tx1"/>
                  </w14:solidFill>
                </w14:textFill>
              </w:rPr>
              <w:t>-</w:t>
            </w:r>
          </w:p>
        </w:tc>
      </w:tr>
      <w:tr w14:paraId="5000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4F0DC452">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7EEA4109">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风险评估质量控制</w:t>
            </w:r>
          </w:p>
        </w:tc>
        <w:tc>
          <w:tcPr>
            <w:tcW w:w="3810" w:type="pct"/>
            <w:vAlign w:val="center"/>
          </w:tcPr>
          <w:p w14:paraId="227CDE4C">
            <w:pP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信息管理平台采取随机抽样的方式，确保数据安全、完整。抽取一定比例的问卷推送上级复核。</w:t>
            </w:r>
          </w:p>
        </w:tc>
      </w:tr>
      <w:tr w14:paraId="6DE7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15E46A00">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0125AE0">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个性化健康干预</w:t>
            </w:r>
          </w:p>
        </w:tc>
        <w:tc>
          <w:tcPr>
            <w:tcW w:w="3810" w:type="pct"/>
            <w:vAlign w:val="center"/>
          </w:tcPr>
          <w:p w14:paraId="10290053">
            <w:pP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借助智能化应用技术，通过移动-端应用精准推送个性化健康管理服务。每半年提供一次由临床营养师进行的膳食指导（包含食谱制定）、运动康复师定制的运动处方、心理健康评估（采用PHQ-9/GAD-7量表）及相应干预措施，同时提供生活方式指导（如睡眠、压力管理等）。</w:t>
            </w:r>
          </w:p>
        </w:tc>
      </w:tr>
      <w:tr w14:paraId="6CE0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57AF9F04">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2FE1E3D6">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临床干预</w:t>
            </w:r>
          </w:p>
        </w:tc>
        <w:tc>
          <w:tcPr>
            <w:tcW w:w="3810" w:type="pct"/>
            <w:vAlign w:val="center"/>
          </w:tcPr>
          <w:p w14:paraId="09CDED63">
            <w:pP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针对确诊的糖尿病患者，依据临床诊断提供药物干预服务。设立药师用药咨询专线，并利用AI技术在固定时段为患者解答用药疑问，确保用药安全与依从性。</w:t>
            </w:r>
          </w:p>
        </w:tc>
      </w:tr>
      <w:tr w14:paraId="558A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62B608A8">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D71F3DB">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预约管理</w:t>
            </w:r>
          </w:p>
        </w:tc>
        <w:tc>
          <w:tcPr>
            <w:tcW w:w="3810" w:type="pct"/>
            <w:vAlign w:val="center"/>
          </w:tcPr>
          <w:p w14:paraId="4A6D495A">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支持医院端号源发布、社区端预约登记和现场扫码签到管理。</w:t>
            </w:r>
          </w:p>
        </w:tc>
      </w:tr>
      <w:tr w14:paraId="673B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28D23528">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2DD1401A">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报告管理</w:t>
            </w:r>
          </w:p>
        </w:tc>
        <w:tc>
          <w:tcPr>
            <w:tcW w:w="3810" w:type="pct"/>
            <w:vAlign w:val="center"/>
          </w:tcPr>
          <w:p w14:paraId="1C84BDFB">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支持批量导入医院检查结果，自动生成结构化报告并及时反馈给社区。</w:t>
            </w:r>
          </w:p>
        </w:tc>
      </w:tr>
      <w:tr w14:paraId="745B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4C6EE852">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4DA5B176">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随访管理</w:t>
            </w:r>
          </w:p>
        </w:tc>
        <w:tc>
          <w:tcPr>
            <w:tcW w:w="3810" w:type="pct"/>
            <w:vAlign w:val="center"/>
          </w:tcPr>
          <w:p w14:paraId="43A58045">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自动生成随访任务，支持短信、AI语音随访提醒，记录随访情况。</w:t>
            </w:r>
          </w:p>
        </w:tc>
      </w:tr>
      <w:tr w14:paraId="3E232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3F79B36F">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31BE5CE">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权限管理</w:t>
            </w:r>
          </w:p>
        </w:tc>
        <w:tc>
          <w:tcPr>
            <w:tcW w:w="3810" w:type="pct"/>
            <w:vAlign w:val="center"/>
          </w:tcPr>
          <w:p w14:paraId="7CFEBDE8">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-基于RBAC的权限控制，满足医疗数据访问的最小权限原则与数据隔离要求。</w:t>
            </w:r>
            <w:r>
              <w:rPr>
                <w:rFonts w:hint="eastAsia" w:asciiTheme="majorEastAsia" w:hAnsiTheme="majorEastAsia" w:eastAsiaTheme="majorEastAsia" w:cstheme="majorEastAsia"/>
                <w:b/>
                <w:bCs/>
                <w:color w:val="000000" w:themeColor="text1"/>
                <w:szCs w:val="20"/>
                <w14:textFill>
                  <w14:solidFill>
                    <w14:schemeClr w14:val="tx1"/>
                  </w14:solidFill>
                </w14:textFill>
              </w:rPr>
              <w:t>-</w:t>
            </w:r>
          </w:p>
        </w:tc>
      </w:tr>
      <w:tr w14:paraId="6945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721F901D">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7A18E2B3">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数据统计分析</w:t>
            </w:r>
          </w:p>
        </w:tc>
        <w:tc>
          <w:tcPr>
            <w:tcW w:w="3810" w:type="pct"/>
            <w:vAlign w:val="center"/>
          </w:tcPr>
          <w:p w14:paraId="224CAAE8">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支持多维度统计分析，图表可视化展示，并提供Excel导出功能。</w:t>
            </w:r>
          </w:p>
        </w:tc>
      </w:tr>
      <w:tr w14:paraId="147C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77B0A7D3">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4DCE356A">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消息通知中心</w:t>
            </w:r>
          </w:p>
        </w:tc>
        <w:tc>
          <w:tcPr>
            <w:tcW w:w="3810" w:type="pct"/>
            <w:vAlign w:val="center"/>
          </w:tcPr>
          <w:p w14:paraId="460DEDE3">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支持系统公告、任务提醒和医保政策信息推送功能。</w:t>
            </w:r>
          </w:p>
        </w:tc>
      </w:tr>
      <w:tr w14:paraId="202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2A28D5AA">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7B68D877">
            <w:pPr>
              <w:jc w:val="cente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后台系统配置</w:t>
            </w:r>
          </w:p>
        </w:tc>
        <w:tc>
          <w:tcPr>
            <w:tcW w:w="3810" w:type="pct"/>
            <w:vAlign w:val="center"/>
          </w:tcPr>
          <w:p w14:paraId="74A235D8">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支持数据字典、日志管理、模块开关配置和API接口管理功能。</w:t>
            </w:r>
          </w:p>
        </w:tc>
      </w:tr>
      <w:tr w14:paraId="743E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1AA5EA6B">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49E5ADB5">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数据传输安全</w:t>
            </w:r>
          </w:p>
        </w:tc>
        <w:tc>
          <w:tcPr>
            <w:tcW w:w="3810" w:type="pct"/>
            <w:vAlign w:val="center"/>
          </w:tcPr>
          <w:p w14:paraId="74FD5C7A">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支持HTTPS/TLS1.2以上的数据加密传输，满足国家网络安全标准。</w:t>
            </w:r>
          </w:p>
        </w:tc>
      </w:tr>
      <w:tr w14:paraId="49F2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53A96CCB">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66A4782">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日志审计</w:t>
            </w:r>
          </w:p>
        </w:tc>
        <w:tc>
          <w:tcPr>
            <w:tcW w:w="3810" w:type="pct"/>
            <w:vAlign w:val="center"/>
          </w:tcPr>
          <w:p w14:paraId="524FA7D5">
            <w:pPr>
              <w:rPr>
                <w:rFonts w:asciiTheme="majorEastAsia" w:hAnsiTheme="majorEastAsia" w:eastAsiaTheme="majorEastAsia" w:cstheme="majorEastAsia"/>
                <w:b/>
                <w:bCs/>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-记录系统登录、重要数据操作、数据导出等日志信息，日志保留不少于180天。</w:t>
            </w:r>
            <w:r>
              <w:rPr>
                <w:rFonts w:hint="eastAsia" w:asciiTheme="majorEastAsia" w:hAnsiTheme="majorEastAsia" w:eastAsiaTheme="majorEastAsia" w:cstheme="majorEastAsia"/>
                <w:b/>
                <w:bCs/>
                <w:color w:val="000000" w:themeColor="text1"/>
                <w:szCs w:val="20"/>
                <w14:textFill>
                  <w14:solidFill>
                    <w14:schemeClr w14:val="tx1"/>
                  </w14:solidFill>
                </w14:textFill>
              </w:rPr>
              <w:t>-</w:t>
            </w:r>
          </w:p>
        </w:tc>
      </w:tr>
      <w:tr w14:paraId="38E5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9" w:type="pct"/>
            <w:vAlign w:val="center"/>
          </w:tcPr>
          <w:p w14:paraId="6321E698">
            <w:pPr>
              <w:pStyle w:val="5"/>
              <w:numPr>
                <w:ilvl w:val="0"/>
                <w:numId w:val="1"/>
              </w:numPr>
              <w:ind w:left="0" w:firstLine="0" w:firstLineChars="0"/>
              <w:jc w:val="center"/>
              <w:rPr>
                <w:rFonts w:asciiTheme="majorEastAsia" w:hAnsiTheme="majorEastAsia" w:eastAsiaTheme="majorEastAsia" w:cstheme="majorEastAsia"/>
                <w:bCs/>
                <w:color w:val="000000" w:themeColor="text1"/>
                <w:szCs w:val="20"/>
                <w14:textFill>
                  <w14:solidFill>
                    <w14:schemeClr w14:val="tx1"/>
                  </w14:solidFill>
                </w14:textFill>
              </w:rPr>
            </w:pPr>
          </w:p>
        </w:tc>
        <w:tc>
          <w:tcPr>
            <w:tcW w:w="731" w:type="pct"/>
            <w:vAlign w:val="center"/>
          </w:tcPr>
          <w:p w14:paraId="1F19605E">
            <w:pPr>
              <w:jc w:val="cente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动态血糖</w:t>
            </w:r>
          </w:p>
        </w:tc>
        <w:tc>
          <w:tcPr>
            <w:tcW w:w="3810" w:type="pct"/>
            <w:vAlign w:val="center"/>
          </w:tcPr>
          <w:p w14:paraId="18671C8F">
            <w:pPr>
              <w:rPr>
                <w:rFonts w:asciiTheme="majorEastAsia" w:hAnsiTheme="majorEastAsia" w:eastAsiaTheme="majorEastAsia" w:cstheme="majorEastAsia"/>
                <w:color w:val="000000" w:themeColor="text1"/>
                <w:szCs w:val="20"/>
                <w14:textFill>
                  <w14:solidFill>
                    <w14:schemeClr w14:val="tx1"/>
                  </w14:solidFill>
                </w14:textFill>
              </w:rPr>
            </w:pPr>
            <w:r>
              <w:rPr>
                <w:rFonts w:hint="eastAsia" w:asciiTheme="majorEastAsia" w:hAnsiTheme="majorEastAsia" w:eastAsiaTheme="majorEastAsia" w:cstheme="majorEastAsia"/>
                <w:color w:val="000000" w:themeColor="text1"/>
                <w:szCs w:val="20"/>
                <w14:textFill>
                  <w14:solidFill>
                    <w14:schemeClr w14:val="tx1"/>
                  </w14:solidFill>
                </w14:textFill>
              </w:rPr>
              <w:t>支持后台批量上传患者动态血糖结果，由医生上传到后台，病人前端与后台可看结果</w:t>
            </w:r>
          </w:p>
        </w:tc>
      </w:tr>
    </w:tbl>
    <w:p w14:paraId="33A98E16">
      <w:pPr>
        <w:rPr>
          <w:rFonts w:asciiTheme="majorEastAsia" w:hAnsiTheme="majorEastAsia" w:eastAsiaTheme="majorEastAsia" w:cstheme="majorEastAsia"/>
          <w:b/>
          <w:color w:val="000000" w:themeColor="text1"/>
          <w:sz w:val="30"/>
          <w14:textFill>
            <w14:solidFill>
              <w14:schemeClr w14:val="tx1"/>
            </w14:solidFill>
          </w14:textFill>
        </w:rPr>
      </w:pPr>
      <w:r>
        <w:rPr>
          <w:rFonts w:asciiTheme="majorEastAsia" w:hAnsiTheme="majorEastAsia" w:eastAsiaTheme="majorEastAsia" w:cstheme="majorEastAsia"/>
          <w:b/>
          <w:color w:val="000000" w:themeColor="text1"/>
          <w:sz w:val="30"/>
          <w14:textFill>
            <w14:solidFill>
              <w14:schemeClr w14:val="tx1"/>
            </w14:solidFill>
          </w14:textFill>
        </w:rPr>
        <w:t>二、</w:t>
      </w:r>
      <w:r>
        <w:rPr>
          <w:rFonts w:hint="eastAsia" w:asciiTheme="majorEastAsia" w:hAnsiTheme="majorEastAsia" w:eastAsiaTheme="majorEastAsia" w:cstheme="majorEastAsia"/>
          <w:b/>
          <w:color w:val="000000" w:themeColor="text1"/>
          <w:sz w:val="30"/>
          <w14:textFill>
            <w14:solidFill>
              <w14:schemeClr w14:val="tx1"/>
            </w14:solidFill>
          </w14:textFill>
        </w:rPr>
        <w:t>服务要求</w:t>
      </w:r>
    </w:p>
    <w:p w14:paraId="1A98C848">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1.上线时间：合同签订后15天内完成系统部署与试运行，并提供初步数据导入服务。</w:t>
      </w:r>
    </w:p>
    <w:p w14:paraId="44AF5CAA">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2.培训：提供系统操作培训不少于1次，培训材料详尽。</w:t>
      </w:r>
    </w:p>
    <w:p w14:paraId="7A3BAF6B">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3.售后服务：免费维保期2年，</w:t>
      </w:r>
      <w:bookmarkStart w:id="1" w:name="_Hlk204195110"/>
      <w:r>
        <w:rPr>
          <w:rFonts w:hint="eastAsia" w:ascii="宋体" w:hAnsi="宋体" w:eastAsia="宋体" w:cs="宋体"/>
          <w:color w:val="000000" w:themeColor="text1"/>
          <w:sz w:val="24"/>
          <w14:textFill>
            <w14:solidFill>
              <w14:schemeClr w14:val="tx1"/>
            </w14:solidFill>
          </w14:textFill>
        </w:rPr>
        <w:t>故障报修的响应时间：周一至周五9:00～17:00期间2小时解决故障。若电话中无法解决，4小时内到达现场进行维护</w:t>
      </w:r>
      <w:bookmarkEnd w:id="1"/>
      <w:r>
        <w:rPr>
          <w:rFonts w:hint="eastAsia" w:ascii="宋体" w:hAnsi="宋体" w:eastAsia="宋体" w:cs="宋体"/>
          <w:color w:val="000000" w:themeColor="text1"/>
          <w:sz w:val="24"/>
          <w14:textFill>
            <w14:solidFill>
              <w14:schemeClr w14:val="tx1"/>
            </w14:solidFill>
          </w14:textFill>
        </w:rPr>
        <w:t>。</w:t>
      </w:r>
      <w:r>
        <w:rPr>
          <w:rFonts w:hint="eastAsia" w:asciiTheme="majorEastAsia" w:hAnsiTheme="majorEastAsia" w:eastAsiaTheme="majorEastAsia" w:cstheme="majorEastAsia"/>
          <w:color w:val="000000" w:themeColor="text1"/>
          <w:sz w:val="24"/>
          <w14:textFill>
            <w14:solidFill>
              <w14:schemeClr w14:val="tx1"/>
            </w14:solidFill>
          </w14:textFill>
        </w:rPr>
        <w:t>-</w:t>
      </w:r>
    </w:p>
    <w:p w14:paraId="2F217C7E">
      <w:pPr>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4、提供以下几种服务：</w:t>
      </w:r>
    </w:p>
    <w:p w14:paraId="68BA91FC">
      <w:pPr>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电话服务：项目工程师指导医院的联系人在第一时间作出正确的应急处理。电话支持时间为：7×24小时。</w:t>
      </w:r>
    </w:p>
    <w:p w14:paraId="5538ED0B">
      <w:pPr>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远程支持：当采购人允许供应商通过远程解决时，供应商应安排工程师通过远程连接方式在响应时间内提供服务。</w:t>
      </w:r>
    </w:p>
    <w:p w14:paraId="0CB5AB50">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接口维护：中标商须提供日常的接口维护。</w:t>
      </w:r>
    </w:p>
    <w:p w14:paraId="27228BA5">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扩展要求：支持未来新增慢病管理模块与其他功能扩展，无需重新设计架构。</w:t>
      </w:r>
    </w:p>
    <w:p w14:paraId="2647D070">
      <w:pPr>
        <w:tabs>
          <w:tab w:val="left" w:pos="900"/>
          <w:tab w:val="left" w:pos="1320"/>
        </w:tabs>
        <w:spacing w:line="480" w:lineRule="exact"/>
        <w:rPr>
          <w:rFonts w:asciiTheme="majorEastAsia" w:hAnsiTheme="majorEastAsia" w:eastAsiaTheme="majorEastAsia" w:cstheme="majorEastAsia"/>
          <w:b/>
          <w:color w:val="000000" w:themeColor="text1"/>
          <w:sz w:val="30"/>
          <w:szCs w:val="30"/>
          <w14:textFill>
            <w14:solidFill>
              <w14:schemeClr w14:val="tx1"/>
            </w14:solidFill>
          </w14:textFill>
        </w:rPr>
      </w:pPr>
      <w:r>
        <w:rPr>
          <w:rFonts w:hint="eastAsia" w:asciiTheme="majorEastAsia" w:hAnsiTheme="majorEastAsia" w:eastAsiaTheme="majorEastAsia" w:cstheme="majorEastAsia"/>
          <w:b/>
          <w:color w:val="000000" w:themeColor="text1"/>
          <w:sz w:val="30"/>
          <w:szCs w:val="30"/>
          <w14:textFill>
            <w14:solidFill>
              <w14:schemeClr w14:val="tx1"/>
            </w14:solidFill>
          </w14:textFill>
        </w:rPr>
        <w:t>三、商务要求</w:t>
      </w:r>
    </w:p>
    <w:p w14:paraId="44C582AB">
      <w:pPr>
        <w:tabs>
          <w:tab w:val="left" w:pos="900"/>
          <w:tab w:val="left" w:pos="1320"/>
        </w:tabs>
        <w:spacing w:line="480" w:lineRule="exact"/>
        <w:ind w:firstLine="480" w:firstLineChars="2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1.付款方式：项目签订合同后预付合同金额的30%，系统上线运行后支付合同金额30%，系统验收后支付合同金额30%。验收满两年后支付合同金额10%</w:t>
      </w:r>
    </w:p>
    <w:p w14:paraId="0B19F8FA">
      <w:pPr>
        <w:rPr>
          <w:rFonts w:asciiTheme="majorEastAsia" w:hAnsiTheme="majorEastAsia" w:eastAsiaTheme="majorEastAsia" w:cstheme="majorEastAsia"/>
          <w:b/>
          <w:color w:val="000000" w:themeColor="text1"/>
          <w:sz w:val="30"/>
          <w:szCs w:val="30"/>
          <w14:textFill>
            <w14:solidFill>
              <w14:schemeClr w14:val="tx1"/>
            </w14:solidFill>
          </w14:textFill>
        </w:rPr>
      </w:pPr>
      <w:r>
        <w:rPr>
          <w:rFonts w:hint="eastAsia" w:asciiTheme="majorEastAsia" w:hAnsiTheme="majorEastAsia" w:eastAsiaTheme="majorEastAsia" w:cstheme="majorEastAsia"/>
          <w:b/>
          <w:color w:val="000000" w:themeColor="text1"/>
          <w:sz w:val="30"/>
          <w:szCs w:val="30"/>
          <w14:textFill>
            <w14:solidFill>
              <w14:schemeClr w14:val="tx1"/>
            </w14:solidFill>
          </w14:textFill>
        </w:rPr>
        <w:t>四、评审规则（总分：80分）</w:t>
      </w:r>
    </w:p>
    <w:tbl>
      <w:tblPr>
        <w:tblStyle w:val="3"/>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6912"/>
      </w:tblGrid>
      <w:tr w14:paraId="2729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35" w:type="dxa"/>
            <w:gridSpan w:val="2"/>
            <w:vAlign w:val="center"/>
          </w:tcPr>
          <w:p w14:paraId="58B29C06">
            <w:pPr>
              <w:jc w:val="center"/>
              <w:rPr>
                <w:rFonts w:asciiTheme="majorEastAsia" w:hAnsiTheme="majorEastAsia" w:eastAsiaTheme="majorEastAsia" w:cstheme="majorEastAsia"/>
                <w:color w:val="000000" w:themeColor="text1"/>
                <w:sz w:val="24"/>
                <w14:textFill>
                  <w14:solidFill>
                    <w14:schemeClr w14:val="tx1"/>
                  </w14:solidFill>
                </w14:textFill>
              </w:rPr>
            </w:pPr>
            <w:bookmarkStart w:id="2" w:name="_Hlk204260963"/>
            <w:r>
              <w:rPr>
                <w:rFonts w:hint="eastAsia" w:asciiTheme="majorEastAsia" w:hAnsiTheme="majorEastAsia" w:eastAsiaTheme="majorEastAsia" w:cstheme="majorEastAsia"/>
                <w:b/>
                <w:bCs/>
                <w:color w:val="000000" w:themeColor="text1"/>
                <w:sz w:val="24"/>
                <w14:textFill>
                  <w14:solidFill>
                    <w14:schemeClr w14:val="tx1"/>
                  </w14:solidFill>
                </w14:textFill>
              </w:rPr>
              <w:t>评审项目</w:t>
            </w:r>
          </w:p>
        </w:tc>
        <w:tc>
          <w:tcPr>
            <w:tcW w:w="6912" w:type="dxa"/>
            <w:vAlign w:val="center"/>
          </w:tcPr>
          <w:p w14:paraId="7CDD02A2">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评分标准</w:t>
            </w:r>
          </w:p>
        </w:tc>
      </w:tr>
      <w:tr w14:paraId="387C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2235" w:type="dxa"/>
            <w:gridSpan w:val="2"/>
            <w:vAlign w:val="center"/>
          </w:tcPr>
          <w:p w14:paraId="13800D4C">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价格分</w:t>
            </w:r>
          </w:p>
          <w:p w14:paraId="35588916">
            <w:pPr>
              <w:spacing w:line="480" w:lineRule="exact"/>
              <w:ind w:firstLine="723" w:firstLineChars="300"/>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（10分）</w:t>
            </w:r>
          </w:p>
        </w:tc>
        <w:tc>
          <w:tcPr>
            <w:tcW w:w="6912" w:type="dxa"/>
            <w:vAlign w:val="center"/>
          </w:tcPr>
          <w:p w14:paraId="5165142E">
            <w:pPr>
              <w:tabs>
                <w:tab w:val="left" w:pos="900"/>
                <w:tab w:val="left" w:pos="1320"/>
              </w:tabs>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价格分采用低价优先法计算，即满足招标文件要求且投标价格最低的投标报价为评标基准价其价格分为满分。其它投标方的价格统一按照下列公式计算：（最后结果保留二位小数，第三位四舍五入）。</w:t>
            </w:r>
          </w:p>
          <w:p w14:paraId="1E579081">
            <w:pPr>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color w:val="000000" w:themeColor="text1"/>
                <w:sz w:val="24"/>
                <w14:textFill>
                  <w14:solidFill>
                    <w14:schemeClr w14:val="tx1"/>
                  </w14:solidFill>
                </w14:textFill>
              </w:rPr>
              <w:t>投标价得分=（评分基准价/投标报价）×10</w:t>
            </w:r>
          </w:p>
        </w:tc>
      </w:tr>
      <w:tr w14:paraId="5654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59" w:type="dxa"/>
            <w:vMerge w:val="restart"/>
            <w:vAlign w:val="center"/>
          </w:tcPr>
          <w:p w14:paraId="1E9604E9">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asciiTheme="majorEastAsia" w:hAnsiTheme="majorEastAsia" w:eastAsiaTheme="majorEastAsia" w:cstheme="majorEastAsia"/>
                <w:b/>
                <w:bCs/>
                <w:color w:val="000000" w:themeColor="text1"/>
                <w:sz w:val="24"/>
                <w14:textFill>
                  <w14:solidFill>
                    <w14:schemeClr w14:val="tx1"/>
                  </w14:solidFill>
                </w14:textFill>
              </w:rPr>
              <w:t>技术分</w:t>
            </w:r>
          </w:p>
          <w:p w14:paraId="40D974ED">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（50）</w:t>
            </w:r>
          </w:p>
        </w:tc>
        <w:tc>
          <w:tcPr>
            <w:tcW w:w="1276" w:type="dxa"/>
            <w:vAlign w:val="center"/>
          </w:tcPr>
          <w:p w14:paraId="0FE972D3">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实施方案（10分）</w:t>
            </w:r>
          </w:p>
        </w:tc>
        <w:tc>
          <w:tcPr>
            <w:tcW w:w="6912" w:type="dxa"/>
            <w:vAlign w:val="center"/>
          </w:tcPr>
          <w:p w14:paraId="05D50F47">
            <w:pPr>
              <w:pStyle w:val="6"/>
              <w:widowControl/>
              <w:spacing w:line="520" w:lineRule="exact"/>
              <w:rPr>
                <w:rFonts w:hint="default"/>
                <w:color w:val="000000" w:themeColor="text1"/>
                <w:spacing w:val="1"/>
                <w14:textFill>
                  <w14:solidFill>
                    <w14:schemeClr w14:val="tx1"/>
                  </w14:solidFill>
                </w14:textFill>
              </w:rPr>
            </w:pPr>
            <w:r>
              <w:rPr>
                <w:rFonts w:cs="宋体"/>
                <w:color w:val="000000" w:themeColor="text1"/>
                <w:spacing w:val="1"/>
                <w14:textFill>
                  <w14:solidFill>
                    <w14:schemeClr w14:val="tx1"/>
                  </w14:solidFill>
                </w14:textFill>
              </w:rPr>
              <w:t>投标人提供项目实施方案，具有项目实施路径、实施计划、故障应急处理措施、售后服务响应，每提供一项得2.5分，最高得10分。</w:t>
            </w:r>
          </w:p>
          <w:p w14:paraId="478E1FC1">
            <w:pPr>
              <w:tabs>
                <w:tab w:val="left" w:pos="900"/>
                <w:tab w:val="left" w:pos="1320"/>
              </w:tabs>
              <w:spacing w:line="480" w:lineRule="exact"/>
              <w:rPr>
                <w:rFonts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评分依据：投标文件须提供项目的</w:t>
            </w:r>
            <w:r>
              <w:rPr>
                <w:rFonts w:hint="eastAsia" w:cs="宋体"/>
                <w:color w:val="000000" w:themeColor="text1"/>
                <w:spacing w:val="1"/>
                <w:sz w:val="24"/>
                <w14:textFill>
                  <w14:solidFill>
                    <w14:schemeClr w14:val="tx1"/>
                  </w14:solidFill>
                </w14:textFill>
              </w:rPr>
              <w:t>实施</w:t>
            </w:r>
            <w:r>
              <w:rPr>
                <w:rFonts w:hint="eastAsia" w:ascii="宋体" w:hAnsi="宋体" w:eastAsia="宋体" w:cs="宋体"/>
                <w:color w:val="000000" w:themeColor="text1"/>
                <w:spacing w:val="1"/>
                <w:sz w:val="24"/>
                <w14:textFill>
                  <w14:solidFill>
                    <w14:schemeClr w14:val="tx1"/>
                  </w14:solidFill>
                </w14:textFill>
              </w:rPr>
              <w:t>方案加盖投标人公章，未提供或提供无效不得分。</w:t>
            </w:r>
          </w:p>
        </w:tc>
      </w:tr>
      <w:tr w14:paraId="54E8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1" w:hRule="atLeast"/>
        </w:trPr>
        <w:tc>
          <w:tcPr>
            <w:tcW w:w="959" w:type="dxa"/>
            <w:vMerge w:val="continue"/>
            <w:vAlign w:val="center"/>
          </w:tcPr>
          <w:p w14:paraId="769E96B1">
            <w:pPr>
              <w:jc w:val="center"/>
              <w:rPr>
                <w:rFonts w:asciiTheme="majorEastAsia" w:hAnsiTheme="majorEastAsia" w:eastAsiaTheme="majorEastAsia" w:cstheme="majorEastAsia"/>
                <w:b/>
                <w:bCs/>
                <w:color w:val="000000" w:themeColor="text1"/>
                <w:sz w:val="24"/>
                <w14:textFill>
                  <w14:solidFill>
                    <w14:schemeClr w14:val="tx1"/>
                  </w14:solidFill>
                </w14:textFill>
              </w:rPr>
            </w:pPr>
          </w:p>
        </w:tc>
        <w:tc>
          <w:tcPr>
            <w:tcW w:w="1276" w:type="dxa"/>
            <w:vAlign w:val="center"/>
          </w:tcPr>
          <w:p w14:paraId="5D94E272">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投标人资质要求（20分）</w:t>
            </w:r>
          </w:p>
        </w:tc>
        <w:tc>
          <w:tcPr>
            <w:tcW w:w="6912" w:type="dxa"/>
            <w:vAlign w:val="center"/>
          </w:tcPr>
          <w:p w14:paraId="6733BB9C">
            <w:pPr>
              <w:spacing w:line="420" w:lineRule="exact"/>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一. 投标人具有CCRC信息安全服务资质认证证书-信息系统安全集成，得6分；</w:t>
            </w:r>
          </w:p>
          <w:p w14:paraId="0386F122">
            <w:pPr>
              <w:spacing w:line="420" w:lineRule="exact"/>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二. 投标人具有CCRC信息安全服务资质认证证书-信息系统安全运维，得7分；</w:t>
            </w:r>
          </w:p>
          <w:p w14:paraId="1C8FFA0F">
            <w:pPr>
              <w:spacing w:line="420" w:lineRule="exact"/>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三. 投标人具有CCRC信息安全服务资质认证证书-信息安全应急处理，得7分。</w:t>
            </w:r>
          </w:p>
          <w:p w14:paraId="6280BFC3">
            <w:pPr>
              <w:spacing w:line="360" w:lineRule="auto"/>
              <w:jc w:val="left"/>
              <w:rPr>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评分依据：</w:t>
            </w:r>
            <w:r>
              <w:rPr>
                <w:rFonts w:hint="eastAsia"/>
                <w:color w:val="000000" w:themeColor="text1"/>
                <w:sz w:val="24"/>
                <w14:textFill>
                  <w14:solidFill>
                    <w14:schemeClr w14:val="tx1"/>
                  </w14:solidFill>
                </w14:textFill>
              </w:rPr>
              <w:t>要求提供相关证书并加盖投标人公章，提供在全国认证认可信息公共服务平台（认</w:t>
            </w:r>
            <w:r>
              <w:rPr>
                <w:color w:val="000000" w:themeColor="text1"/>
                <w:sz w:val="24"/>
                <w14:textFill>
                  <w14:solidFill>
                    <w14:schemeClr w14:val="tx1"/>
                  </w14:solidFill>
                </w14:textFill>
              </w:rPr>
              <w:t>e</w:t>
            </w:r>
            <w:r>
              <w:rPr>
                <w:rFonts w:hint="eastAsia"/>
                <w:color w:val="000000" w:themeColor="text1"/>
                <w:sz w:val="24"/>
                <w14:textFill>
                  <w14:solidFill>
                    <w14:schemeClr w14:val="tx1"/>
                  </w14:solidFill>
                </w14:textFill>
              </w:rPr>
              <w:t>云）查询有效的截图（</w:t>
            </w:r>
            <w:r>
              <w:rPr>
                <w:color w:val="000000" w:themeColor="text1"/>
                <w:sz w:val="24"/>
                <w14:textFill>
                  <w14:solidFill>
                    <w14:schemeClr w14:val="tx1"/>
                  </w14:solidFill>
                </w14:textFill>
              </w:rPr>
              <w:t>http://cx.cnca.cn</w:t>
            </w:r>
            <w:r>
              <w:rPr>
                <w:rFonts w:hint="eastAsia"/>
                <w:color w:val="000000" w:themeColor="text1"/>
                <w:sz w:val="24"/>
                <w14:textFill>
                  <w14:solidFill>
                    <w14:schemeClr w14:val="tx1"/>
                  </w14:solidFill>
                </w14:textFill>
              </w:rPr>
              <w:t>）。评分中出现无证明资料或专家无法凭所提供资料判断是否得分的情况，一律作不得分处理。</w:t>
            </w:r>
          </w:p>
        </w:tc>
      </w:tr>
      <w:tr w14:paraId="3678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959" w:type="dxa"/>
            <w:vMerge w:val="continue"/>
            <w:vAlign w:val="center"/>
          </w:tcPr>
          <w:p w14:paraId="7A82B786">
            <w:pPr>
              <w:jc w:val="center"/>
              <w:rPr>
                <w:rFonts w:asciiTheme="majorEastAsia" w:hAnsiTheme="majorEastAsia" w:eastAsiaTheme="majorEastAsia" w:cstheme="majorEastAsia"/>
                <w:b/>
                <w:bCs/>
                <w:color w:val="000000" w:themeColor="text1"/>
                <w:sz w:val="24"/>
                <w14:textFill>
                  <w14:solidFill>
                    <w14:schemeClr w14:val="tx1"/>
                  </w14:solidFill>
                </w14:textFill>
              </w:rPr>
            </w:pPr>
          </w:p>
        </w:tc>
        <w:tc>
          <w:tcPr>
            <w:tcW w:w="1276" w:type="dxa"/>
            <w:vAlign w:val="center"/>
          </w:tcPr>
          <w:p w14:paraId="38FD24E8">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项目团队人员要求（20分）</w:t>
            </w:r>
          </w:p>
        </w:tc>
        <w:tc>
          <w:tcPr>
            <w:tcW w:w="6912" w:type="dxa"/>
            <w:vAlign w:val="center"/>
          </w:tcPr>
          <w:p w14:paraId="4C1845B9">
            <w:pPr>
              <w:spacing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一、投标人拟安排的项目负责人要求：投标人拟安排的项目负责人具有项目管理专业人员（PMP）认证得5分</w:t>
            </w:r>
          </w:p>
          <w:p w14:paraId="37B0F029">
            <w:pPr>
              <w:spacing w:after="60" w:line="360" w:lineRule="auto"/>
              <w:jc w:val="left"/>
              <w:rPr>
                <w:rFonts w:cs="仿宋" w:asciiTheme="minorEastAsia" w:hAnsiTheme="min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二、投标人拟安排的项目实施团队主要成员</w:t>
            </w:r>
            <w:r>
              <w:rPr>
                <w:rFonts w:hint="eastAsia" w:cs="仿宋" w:asciiTheme="minorEastAsia" w:hAnsiTheme="minorEastAsia"/>
                <w:color w:val="000000" w:themeColor="text1"/>
                <w:kern w:val="0"/>
                <w:sz w:val="24"/>
                <w14:textFill>
                  <w14:solidFill>
                    <w14:schemeClr w14:val="tx1"/>
                  </w14:solidFill>
                </w14:textFill>
              </w:rPr>
              <w:t>：</w:t>
            </w:r>
          </w:p>
          <w:p w14:paraId="53CEE43E">
            <w:pPr>
              <w:spacing w:after="60" w:line="360" w:lineRule="auto"/>
              <w:jc w:val="left"/>
              <w:rPr>
                <w:rFonts w:cs="仿宋" w:asciiTheme="minorEastAsia" w:hAnsiTheme="minorEastAsia"/>
                <w:color w:val="000000" w:themeColor="text1"/>
                <w:kern w:val="0"/>
                <w:sz w:val="24"/>
                <w14:textFill>
                  <w14:solidFill>
                    <w14:schemeClr w14:val="tx1"/>
                  </w14:solidFill>
                </w14:textFill>
              </w:rPr>
            </w:pPr>
            <w:r>
              <w:rPr>
                <w:rFonts w:hint="eastAsia" w:cs="仿宋" w:asciiTheme="minorEastAsia" w:hAnsiTheme="minorEastAsia"/>
                <w:color w:val="000000" w:themeColor="text1"/>
                <w:kern w:val="0"/>
                <w:sz w:val="24"/>
                <w14:textFill>
                  <w14:solidFill>
                    <w14:schemeClr w14:val="tx1"/>
                  </w14:solidFill>
                </w14:textFill>
              </w:rPr>
              <w:t>（1）第1位工程师具备电子信息高级工程师证书，得4分；</w:t>
            </w:r>
          </w:p>
          <w:p w14:paraId="58D93668">
            <w:pPr>
              <w:spacing w:after="60" w:line="360" w:lineRule="auto"/>
              <w:jc w:val="left"/>
              <w:rPr>
                <w:rFonts w:cs="仿宋" w:asciiTheme="minorEastAsia" w:hAnsiTheme="minorEastAsia"/>
                <w:color w:val="000000" w:themeColor="text1"/>
                <w:kern w:val="0"/>
                <w:sz w:val="24"/>
                <w14:textFill>
                  <w14:solidFill>
                    <w14:schemeClr w14:val="tx1"/>
                  </w14:solidFill>
                </w14:textFill>
              </w:rPr>
            </w:pPr>
            <w:r>
              <w:rPr>
                <w:rFonts w:hint="eastAsia" w:cs="仿宋" w:asciiTheme="minorEastAsia" w:hAnsiTheme="minorEastAsia"/>
                <w:color w:val="000000" w:themeColor="text1"/>
                <w:kern w:val="0"/>
                <w:sz w:val="24"/>
                <w14:textFill>
                  <w14:solidFill>
                    <w14:schemeClr w14:val="tx1"/>
                  </w14:solidFill>
                </w14:textFill>
              </w:rPr>
              <w:t>（2）第2位工程师具备系统集成项目管理工程师（中级）证书，得4分；</w:t>
            </w:r>
          </w:p>
          <w:p w14:paraId="1C32EB7A">
            <w:pPr>
              <w:spacing w:after="60" w:line="360" w:lineRule="auto"/>
              <w:jc w:val="left"/>
              <w:rPr>
                <w:rFonts w:cs="仿宋" w:asciiTheme="minorEastAsia" w:hAnsiTheme="minorEastAsia"/>
                <w:color w:val="000000" w:themeColor="text1"/>
                <w:kern w:val="0"/>
                <w:sz w:val="24"/>
                <w14:textFill>
                  <w14:solidFill>
                    <w14:schemeClr w14:val="tx1"/>
                  </w14:solidFill>
                </w14:textFill>
              </w:rPr>
            </w:pPr>
            <w:r>
              <w:rPr>
                <w:rFonts w:hint="eastAsia" w:cs="仿宋" w:asciiTheme="minorEastAsia" w:hAnsiTheme="minorEastAsia"/>
                <w:color w:val="000000" w:themeColor="text1"/>
                <w:kern w:val="0"/>
                <w:sz w:val="24"/>
                <w14:textFill>
                  <w14:solidFill>
                    <w14:schemeClr w14:val="tx1"/>
                  </w14:solidFill>
                </w14:textFill>
              </w:rPr>
              <w:t>（3）第3位工程师具备项目管理专业人员（PMP）认证，得3分；</w:t>
            </w:r>
          </w:p>
          <w:p w14:paraId="3D7B7612">
            <w:pPr>
              <w:spacing w:after="60" w:line="360" w:lineRule="auto"/>
              <w:jc w:val="left"/>
              <w:rPr>
                <w:rFonts w:cs="仿宋" w:asciiTheme="minorEastAsia" w:hAnsiTheme="minorEastAsia"/>
                <w:color w:val="000000" w:themeColor="text1"/>
                <w:kern w:val="0"/>
                <w:sz w:val="24"/>
                <w14:textFill>
                  <w14:solidFill>
                    <w14:schemeClr w14:val="tx1"/>
                  </w14:solidFill>
                </w14:textFill>
              </w:rPr>
            </w:pPr>
            <w:r>
              <w:rPr>
                <w:rFonts w:hint="eastAsia" w:cs="仿宋" w:asciiTheme="minorEastAsia" w:hAnsiTheme="minorEastAsia"/>
                <w:color w:val="000000" w:themeColor="text1"/>
                <w:kern w:val="0"/>
                <w:sz w:val="24"/>
                <w14:textFill>
                  <w14:solidFill>
                    <w14:schemeClr w14:val="tx1"/>
                  </w14:solidFill>
                </w14:textFill>
              </w:rPr>
              <w:t>（4）第4位工程师具备注册信息安全专业人员证书（CISP），得4分。</w:t>
            </w:r>
          </w:p>
          <w:p w14:paraId="52B5D3F5">
            <w:pPr>
              <w:spacing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cs="仿宋" w:asciiTheme="minorEastAsia" w:hAnsiTheme="minorEastAsia"/>
                <w:color w:val="000000" w:themeColor="text1"/>
                <w:kern w:val="0"/>
                <w:sz w:val="24"/>
                <w14:textFill>
                  <w14:solidFill>
                    <w14:schemeClr w14:val="tx1"/>
                  </w14:solidFill>
                </w14:textFill>
              </w:rPr>
              <w:t>以上人员不得重复计分，最高得20分</w:t>
            </w:r>
          </w:p>
          <w:p w14:paraId="354B6706">
            <w:pPr>
              <w:spacing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评分依据：要求提供相关证书复印件并加盖投标人公章；评分中出现无证明资料或专家无法凭所提供资料判断是否得分的情况，一律作不得分处理。</w:t>
            </w:r>
          </w:p>
        </w:tc>
      </w:tr>
      <w:tr w14:paraId="7D9F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959" w:type="dxa"/>
            <w:vMerge w:val="restart"/>
            <w:vAlign w:val="center"/>
          </w:tcPr>
          <w:p w14:paraId="31BAB121">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商务分</w:t>
            </w:r>
          </w:p>
          <w:p w14:paraId="7B33CE5A">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（20）</w:t>
            </w:r>
          </w:p>
        </w:tc>
        <w:tc>
          <w:tcPr>
            <w:tcW w:w="1276" w:type="dxa"/>
            <w:vAlign w:val="center"/>
          </w:tcPr>
          <w:p w14:paraId="3427D3D4">
            <w:pPr>
              <w:jc w:val="center"/>
              <w:rPr>
                <w:rFonts w:asciiTheme="majorEastAsia" w:hAnsiTheme="majorEastAsia" w:eastAsiaTheme="majorEastAsia" w:cstheme="majorEastAsia"/>
                <w:b/>
                <w:bCs/>
                <w:color w:val="000000" w:themeColor="text1"/>
                <w:sz w:val="24"/>
                <w14:textFill>
                  <w14:solidFill>
                    <w14:schemeClr w14:val="tx1"/>
                  </w14:solidFill>
                </w14:textFill>
              </w:rPr>
            </w:pPr>
            <w:r>
              <w:rPr>
                <w:rFonts w:hint="eastAsia" w:asciiTheme="majorEastAsia" w:hAnsiTheme="majorEastAsia" w:eastAsiaTheme="majorEastAsia" w:cstheme="majorEastAsia"/>
                <w:b/>
                <w:bCs/>
                <w:color w:val="000000" w:themeColor="text1"/>
                <w:sz w:val="24"/>
                <w14:textFill>
                  <w14:solidFill>
                    <w14:schemeClr w14:val="tx1"/>
                  </w14:solidFill>
                </w14:textFill>
              </w:rPr>
              <w:t>售后服务人员要求（5分）</w:t>
            </w:r>
          </w:p>
        </w:tc>
        <w:tc>
          <w:tcPr>
            <w:tcW w:w="6912" w:type="dxa"/>
            <w:vAlign w:val="center"/>
          </w:tcPr>
          <w:p w14:paraId="4F7CC197">
            <w:pPr>
              <w:spacing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投标人拟安排的项目售后服务人员具备数据通信专家级（IE级)认证证书，得5分。</w:t>
            </w:r>
          </w:p>
          <w:p w14:paraId="07D26184">
            <w:pPr>
              <w:spacing w:after="60"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评分依据：要求提供相关证书复印件并加盖投标人公章；评分中出现无证明资料或专家无法凭所提供资料判断是否得分的情况，一律作不得分处理。</w:t>
            </w:r>
          </w:p>
        </w:tc>
      </w:tr>
      <w:tr w14:paraId="7073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59" w:type="dxa"/>
            <w:vMerge w:val="continue"/>
            <w:vAlign w:val="center"/>
          </w:tcPr>
          <w:p w14:paraId="530C98AF">
            <w:pPr>
              <w:jc w:val="center"/>
              <w:rPr>
                <w:rFonts w:asciiTheme="majorEastAsia" w:hAnsiTheme="majorEastAsia" w:eastAsiaTheme="majorEastAsia" w:cstheme="majorEastAsia"/>
                <w:color w:val="000000" w:themeColor="text1"/>
                <w:sz w:val="24"/>
                <w14:textFill>
                  <w14:solidFill>
                    <w14:schemeClr w14:val="tx1"/>
                  </w14:solidFill>
                </w14:textFill>
              </w:rPr>
            </w:pPr>
          </w:p>
        </w:tc>
        <w:tc>
          <w:tcPr>
            <w:tcW w:w="1276" w:type="dxa"/>
            <w:vAlign w:val="center"/>
          </w:tcPr>
          <w:p w14:paraId="38E1DC6F">
            <w:pPr>
              <w:jc w:val="center"/>
              <w:rPr>
                <w:rFonts w:asciiTheme="majorEastAsia" w:hAnsiTheme="majorEastAsia" w:eastAsiaTheme="majorEastAsia" w:cstheme="majorEastAsia"/>
                <w:color w:val="000000" w:themeColor="text1"/>
                <w:sz w:val="24"/>
                <w14:textFill>
                  <w14:solidFill>
                    <w14:schemeClr w14:val="tx1"/>
                  </w14:solidFill>
                </w14:textFill>
              </w:rPr>
            </w:pPr>
            <w:r>
              <w:rPr>
                <w:rFonts w:hint="eastAsia" w:ascii="宋体" w:hAnsi="宋体" w:eastAsia="宋体" w:cs="宋体"/>
                <w:b/>
                <w:bCs/>
                <w:color w:val="000000" w:themeColor="text1"/>
                <w:spacing w:val="-2"/>
                <w:sz w:val="24"/>
                <w14:textFill>
                  <w14:solidFill>
                    <w14:schemeClr w14:val="tx1"/>
                  </w14:solidFill>
                </w14:textFill>
              </w:rPr>
              <w:t>培训方案（5分）</w:t>
            </w:r>
          </w:p>
        </w:tc>
        <w:tc>
          <w:tcPr>
            <w:tcW w:w="6912" w:type="dxa"/>
          </w:tcPr>
          <w:p w14:paraId="0B5C4D7B">
            <w:pPr>
              <w:pStyle w:val="6"/>
              <w:widowControl/>
              <w:spacing w:line="520" w:lineRule="exact"/>
              <w:rPr>
                <w:rFonts w:hint="default"/>
                <w:color w:val="000000" w:themeColor="text1"/>
                <w:spacing w:val="1"/>
                <w14:textFill>
                  <w14:solidFill>
                    <w14:schemeClr w14:val="tx1"/>
                  </w14:solidFill>
                </w14:textFill>
              </w:rPr>
            </w:pPr>
            <w:r>
              <w:rPr>
                <w:rFonts w:cs="宋体"/>
                <w:color w:val="000000" w:themeColor="text1"/>
                <w:spacing w:val="1"/>
                <w14:textFill>
                  <w14:solidFill>
                    <w14:schemeClr w14:val="tx1"/>
                  </w14:solidFill>
                </w14:textFill>
              </w:rPr>
              <w:t>投标人提供培训方案，培训内容包含糖尿病慢病信息管理系统服务项目的培训方案得5分，不提供不得分。</w:t>
            </w:r>
          </w:p>
          <w:p w14:paraId="4FFA347B">
            <w:pPr>
              <w:spacing w:line="360" w:lineRule="auto"/>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宋体" w:hAnsi="宋体" w:eastAsia="宋体" w:cs="宋体"/>
                <w:color w:val="000000" w:themeColor="text1"/>
                <w:spacing w:val="1"/>
                <w:sz w:val="24"/>
                <w14:textFill>
                  <w14:solidFill>
                    <w14:schemeClr w14:val="tx1"/>
                  </w14:solidFill>
                </w14:textFill>
              </w:rPr>
              <w:t>评分依据：提供培训方案加盖投标人公章，不提供不得分。</w:t>
            </w:r>
          </w:p>
        </w:tc>
      </w:tr>
      <w:tr w14:paraId="1D7D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vMerge w:val="continue"/>
            <w:vAlign w:val="center"/>
          </w:tcPr>
          <w:p w14:paraId="1C72D7CC">
            <w:pPr>
              <w:jc w:val="center"/>
              <w:rPr>
                <w:rFonts w:ascii="宋体" w:hAnsi="宋体" w:eastAsia="宋体" w:cs="宋体"/>
                <w:b/>
                <w:bCs/>
                <w:color w:val="000000" w:themeColor="text1"/>
                <w:spacing w:val="-2"/>
                <w:sz w:val="24"/>
                <w14:textFill>
                  <w14:solidFill>
                    <w14:schemeClr w14:val="tx1"/>
                  </w14:solidFill>
                </w14:textFill>
              </w:rPr>
            </w:pPr>
          </w:p>
        </w:tc>
        <w:tc>
          <w:tcPr>
            <w:tcW w:w="1276" w:type="dxa"/>
            <w:vAlign w:val="center"/>
          </w:tcPr>
          <w:p w14:paraId="764A4642">
            <w:pPr>
              <w:jc w:val="center"/>
              <w:rPr>
                <w:rFonts w:ascii="宋体" w:hAnsi="宋体" w:eastAsia="宋体" w:cs="宋体"/>
                <w:b/>
                <w:bCs/>
                <w:color w:val="000000" w:themeColor="text1"/>
                <w:spacing w:val="-2"/>
                <w:sz w:val="24"/>
                <w14:textFill>
                  <w14:solidFill>
                    <w14:schemeClr w14:val="tx1"/>
                  </w14:solidFill>
                </w14:textFill>
              </w:rPr>
            </w:pPr>
            <w:r>
              <w:rPr>
                <w:rFonts w:hint="eastAsia" w:ascii="宋体" w:hAnsi="宋体" w:eastAsia="宋体" w:cs="宋体"/>
                <w:b/>
                <w:bCs/>
                <w:color w:val="000000" w:themeColor="text1"/>
                <w:spacing w:val="-2"/>
                <w:sz w:val="24"/>
                <w14:textFill>
                  <w14:solidFill>
                    <w14:schemeClr w14:val="tx1"/>
                  </w14:solidFill>
                </w14:textFill>
              </w:rPr>
              <w:t>同类项目案例（10分）</w:t>
            </w:r>
          </w:p>
        </w:tc>
        <w:tc>
          <w:tcPr>
            <w:tcW w:w="6912" w:type="dxa"/>
          </w:tcPr>
          <w:p w14:paraId="2363B902">
            <w:pPr>
              <w:pStyle w:val="6"/>
              <w:widowControl/>
              <w:spacing w:before="36" w:line="520" w:lineRule="exact"/>
              <w:ind w:right="158"/>
              <w:rPr>
                <w:rFonts w:hint="default"/>
                <w:color w:val="000000" w:themeColor="text1"/>
                <w:spacing w:val="-2"/>
                <w14:textFill>
                  <w14:solidFill>
                    <w14:schemeClr w14:val="tx1"/>
                  </w14:solidFill>
                </w14:textFill>
              </w:rPr>
            </w:pPr>
            <w:r>
              <w:rPr>
                <w:rFonts w:cs="宋体"/>
                <w:color w:val="000000" w:themeColor="text1"/>
                <w:spacing w:val="-2"/>
                <w14:textFill>
                  <w14:solidFill>
                    <w14:schemeClr w14:val="tx1"/>
                  </w14:solidFill>
                </w14:textFill>
              </w:rPr>
              <w:t>供应商（厂家）应具有慢病筛查类项目的案例经验。</w:t>
            </w:r>
          </w:p>
          <w:p w14:paraId="0B6156AE">
            <w:pPr>
              <w:pStyle w:val="6"/>
              <w:widowControl/>
              <w:spacing w:before="40" w:line="520" w:lineRule="exact"/>
              <w:ind w:right="104"/>
              <w:rPr>
                <w:rFonts w:hint="default" w:cs="宋体"/>
                <w:color w:val="000000" w:themeColor="text1"/>
                <w:spacing w:val="1"/>
                <w14:textFill>
                  <w14:solidFill>
                    <w14:schemeClr w14:val="tx1"/>
                  </w14:solidFill>
                </w14:textFill>
              </w:rPr>
            </w:pPr>
            <w:r>
              <w:rPr>
                <w:rFonts w:cs="宋体"/>
                <w:color w:val="000000" w:themeColor="text1"/>
                <w:spacing w:val="-2"/>
                <w14:textFill>
                  <w14:solidFill>
                    <w14:schemeClr w14:val="tx1"/>
                  </w14:solidFill>
                </w14:textFill>
              </w:rPr>
              <w:t>评分依据：提供供应商（厂家）</w:t>
            </w:r>
            <w:r>
              <w:rPr>
                <w:rFonts w:cs="宋体"/>
                <w:color w:val="000000" w:themeColor="text1"/>
                <w:spacing w:val="1"/>
                <w14:textFill>
                  <w14:solidFill>
                    <w14:schemeClr w14:val="tx1"/>
                  </w14:solidFill>
                </w14:textFill>
              </w:rPr>
              <w:t>自 2020年 1 月 1 日至今的相关业务案例（</w:t>
            </w:r>
            <w:r>
              <w:rPr>
                <w:rFonts w:cs="宋体"/>
                <w:color w:val="000000" w:themeColor="text1"/>
                <w:spacing w:val="-6"/>
                <w14:textFill>
                  <w14:solidFill>
                    <w14:schemeClr w14:val="tx1"/>
                  </w14:solidFill>
                </w14:textFill>
              </w:rPr>
              <w:t>以合同最终签订时间</w:t>
            </w:r>
            <w:r>
              <w:rPr>
                <w:rFonts w:cs="宋体"/>
                <w:color w:val="000000" w:themeColor="text1"/>
                <w:spacing w:val="-2"/>
                <w14:textFill>
                  <w14:solidFill>
                    <w14:schemeClr w14:val="tx1"/>
                  </w14:solidFill>
                </w14:textFill>
              </w:rPr>
              <w:t>为准）协议合同，合同扫描件加盖供应商（厂家）公章，合同服务内容中需含有“筛查”内容，每提供一个得5分，满分为10分，不提供不得分。</w:t>
            </w:r>
          </w:p>
        </w:tc>
      </w:tr>
      <w:bookmarkEnd w:id="2"/>
    </w:tbl>
    <w:p w14:paraId="23AE3D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D7EAA"/>
    <w:multiLevelType w:val="multilevel"/>
    <w:tmpl w:val="024D7EA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5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0" w:after="20" w:line="413" w:lineRule="auto"/>
      <w:ind w:firstLine="454"/>
      <w:jc w:val="left"/>
      <w:outlineLvl w:val="1"/>
    </w:pPr>
    <w:rPr>
      <w:rFonts w:ascii="Arial" w:hAnsi="Arial" w:eastAsia="宋体" w:cs="Times New Roman"/>
      <w:b/>
      <w:sz w:val="30"/>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szCs w:val="24"/>
    </w:rPr>
  </w:style>
  <w:style w:type="paragraph" w:customStyle="1" w:styleId="6">
    <w:name w:val="Table Text"/>
    <w:basedOn w:val="1"/>
    <w:qFormat/>
    <w:uiPriority w:val="0"/>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2025-07-25T01:01:41Z</dcterms:created>
  <dc:creator>Administrator</dc:creator>
  <cp:lastModifiedBy>黄镁淇</cp:lastModifiedBy>
  <dcterms:modified xsi:type="dcterms:W3CDTF">2025-07-25T01:02:01Z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eyJoZGlkIjoiNTljNDY4ZTRkMDljOTUyM2E3ZmUxODEwNTRkMmRhYmMiLCJ1c2VySWQiOiI5NTA3MzU1NjIifQ==</vt:lpwstr>
  </property>
  <property fmtid="{D5CDD505-2E9C-101B-9397-08002B2CF9AE}" pid="4" name="ICV">
    <vt:lpwstr>4720D29646954E5798C00DC4A5D131E1_12</vt:lpwstr>
  </property>
</Properties>
</file>