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44FF8E">
      <w:pPr>
        <w:pStyle w:val="2"/>
        <w:numPr>
          <w:ilvl w:val="0"/>
          <w:numId w:val="0"/>
        </w:numPr>
        <w:spacing w:before="0" w:after="0"/>
        <w:jc w:val="center"/>
        <w:rPr>
          <w:rFonts w:ascii="宋体" w:hAnsi="宋体" w:eastAsia="宋体"/>
          <w:bCs/>
          <w:color w:val="000000"/>
          <w:sz w:val="24"/>
          <w:szCs w:val="28"/>
        </w:rPr>
      </w:pPr>
      <w:bookmarkStart w:id="0" w:name="_Toc220429542"/>
      <w:bookmarkStart w:id="1" w:name="_Toc6437"/>
      <w:r>
        <w:rPr>
          <w:rFonts w:hint="eastAsia" w:ascii="宋体" w:hAnsi="宋体" w:eastAsia="宋体"/>
          <w:bCs/>
          <w:color w:val="000000"/>
          <w:sz w:val="24"/>
          <w:szCs w:val="28"/>
        </w:rPr>
        <w:t>一、采购清单</w:t>
      </w:r>
      <w:bookmarkEnd w:id="0"/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40"/>
        <w:gridCol w:w="5685"/>
        <w:gridCol w:w="850"/>
        <w:gridCol w:w="1038"/>
      </w:tblGrid>
      <w:tr w14:paraId="3C64B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5" w:type="pct"/>
            <w:noWrap w:val="0"/>
            <w:vAlign w:val="center"/>
          </w:tcPr>
          <w:p w14:paraId="54580904">
            <w:pPr>
              <w:keepNext/>
              <w:keepLines/>
              <w:wordWrap w:val="0"/>
              <w:topLinePunct/>
              <w:jc w:val="center"/>
              <w:rPr>
                <w:rFonts w:ascii="宋体" w:hAnsi="宋体" w:cs="宋体"/>
                <w:b/>
                <w:bCs/>
                <w:highlight w:val="yellow"/>
              </w:rPr>
            </w:pPr>
            <w:r>
              <w:rPr>
                <w:rFonts w:hint="eastAsia" w:ascii="宋体" w:hAnsi="宋体" w:cs="宋体"/>
                <w:b/>
                <w:bCs/>
              </w:rPr>
              <w:t>序号</w:t>
            </w:r>
          </w:p>
        </w:tc>
        <w:tc>
          <w:tcPr>
            <w:tcW w:w="3418" w:type="pct"/>
            <w:noWrap w:val="0"/>
            <w:vAlign w:val="center"/>
          </w:tcPr>
          <w:p w14:paraId="4ACD28C5">
            <w:pPr>
              <w:keepNext/>
              <w:keepLines/>
              <w:wordWrap w:val="0"/>
              <w:topLinePunct/>
              <w:jc w:val="center"/>
              <w:rPr>
                <w:rFonts w:ascii="宋体" w:hAnsi="宋体" w:cs="宋体"/>
                <w:b/>
                <w:bCs/>
                <w:highlight w:val="yellow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采购标的名称</w:t>
            </w:r>
          </w:p>
        </w:tc>
        <w:tc>
          <w:tcPr>
            <w:tcW w:w="511" w:type="pct"/>
            <w:noWrap w:val="0"/>
            <w:vAlign w:val="center"/>
          </w:tcPr>
          <w:p w14:paraId="1869CDBD">
            <w:pPr>
              <w:keepNext/>
              <w:keepLines/>
              <w:wordWrap w:val="0"/>
              <w:topLinePunct/>
              <w:jc w:val="center"/>
              <w:rPr>
                <w:rFonts w:ascii="宋体" w:hAnsi="宋体" w:cs="宋体"/>
                <w:b/>
                <w:bCs/>
                <w:highlight w:val="yellow"/>
              </w:rPr>
            </w:pPr>
            <w:r>
              <w:rPr>
                <w:rFonts w:hint="eastAsia" w:ascii="宋体" w:hAnsi="宋体" w:cs="宋体"/>
                <w:b/>
                <w:bCs/>
              </w:rPr>
              <w:t>数量</w:t>
            </w:r>
          </w:p>
        </w:tc>
        <w:tc>
          <w:tcPr>
            <w:tcW w:w="624" w:type="pct"/>
            <w:noWrap w:val="0"/>
            <w:vAlign w:val="center"/>
          </w:tcPr>
          <w:p w14:paraId="5FA6A1C6">
            <w:pPr>
              <w:keepNext/>
              <w:keepLines/>
              <w:wordWrap w:val="0"/>
              <w:topLinePunct/>
              <w:jc w:val="center"/>
              <w:rPr>
                <w:rFonts w:ascii="宋体" w:hAnsi="宋体" w:cs="宋体"/>
                <w:b/>
                <w:bCs/>
                <w:highlight w:val="yellow"/>
              </w:rPr>
            </w:pPr>
            <w:r>
              <w:rPr>
                <w:rFonts w:hint="eastAsia" w:ascii="宋体" w:hAnsi="宋体" w:cs="宋体"/>
                <w:b/>
                <w:bCs/>
              </w:rPr>
              <w:t>单位</w:t>
            </w:r>
          </w:p>
        </w:tc>
      </w:tr>
      <w:tr w14:paraId="5F370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5" w:type="pct"/>
            <w:noWrap w:val="0"/>
            <w:vAlign w:val="top"/>
          </w:tcPr>
          <w:p w14:paraId="11453B1B">
            <w:pPr>
              <w:keepNext/>
              <w:keepLines/>
              <w:wordWrap w:val="0"/>
              <w:topLinePunct/>
              <w:jc w:val="center"/>
              <w:rPr>
                <w:rFonts w:ascii="宋体" w:hAnsi="宋体" w:cs="宋体"/>
                <w:b w:val="0"/>
                <w:bCs w:val="0"/>
              </w:rPr>
            </w:pPr>
            <w:r>
              <w:rPr>
                <w:rFonts w:hint="eastAsia" w:ascii="宋体" w:hAnsi="宋体" w:cs="宋体"/>
                <w:b w:val="0"/>
                <w:bCs w:val="0"/>
              </w:rPr>
              <w:t>1</w:t>
            </w:r>
          </w:p>
        </w:tc>
        <w:tc>
          <w:tcPr>
            <w:tcW w:w="3418" w:type="pct"/>
            <w:noWrap w:val="0"/>
            <w:vAlign w:val="top"/>
          </w:tcPr>
          <w:p w14:paraId="2E6C2542">
            <w:pPr>
              <w:keepNext/>
              <w:keepLines/>
              <w:wordWrap w:val="0"/>
              <w:topLinePunct/>
              <w:jc w:val="center"/>
              <w:rPr>
                <w:rFonts w:ascii="宋体" w:hAnsi="宋体" w:cs="宋体"/>
                <w:b w:val="0"/>
                <w:bCs w:val="0"/>
              </w:rPr>
            </w:pPr>
            <w:r>
              <w:rPr>
                <w:rFonts w:hint="eastAsia" w:ascii="宋体" w:hAnsi="宋体" w:cs="宋体"/>
                <w:b w:val="0"/>
                <w:bCs w:val="0"/>
              </w:rPr>
              <w:t>江西农业大学南昌商学院自动售货机服务项目</w:t>
            </w:r>
          </w:p>
        </w:tc>
        <w:tc>
          <w:tcPr>
            <w:tcW w:w="511" w:type="pct"/>
            <w:noWrap w:val="0"/>
            <w:vAlign w:val="top"/>
          </w:tcPr>
          <w:p w14:paraId="6EE056B4">
            <w:pPr>
              <w:keepNext/>
              <w:keepLines/>
              <w:wordWrap w:val="0"/>
              <w:topLinePunct/>
              <w:jc w:val="center"/>
              <w:rPr>
                <w:rFonts w:hint="default" w:ascii="宋体" w:hAnsi="宋体" w:eastAsia="宋体" w:cs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lang w:val="en-US" w:eastAsia="zh-CN"/>
              </w:rPr>
              <w:t>15</w:t>
            </w:r>
          </w:p>
        </w:tc>
        <w:tc>
          <w:tcPr>
            <w:tcW w:w="624" w:type="pct"/>
            <w:noWrap w:val="0"/>
            <w:vAlign w:val="top"/>
          </w:tcPr>
          <w:p w14:paraId="71ADD25A">
            <w:pPr>
              <w:keepNext/>
              <w:keepLines/>
              <w:wordWrap w:val="0"/>
              <w:topLinePunct/>
              <w:jc w:val="center"/>
              <w:rPr>
                <w:rFonts w:hint="default" w:ascii="宋体" w:hAnsi="宋体" w:eastAsia="宋体" w:cs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lang w:val="en-US" w:eastAsia="zh-CN"/>
              </w:rPr>
              <w:t>台</w:t>
            </w:r>
          </w:p>
        </w:tc>
      </w:tr>
    </w:tbl>
    <w:p w14:paraId="30FAF9D8">
      <w:pPr>
        <w:rPr>
          <w:rFonts w:hint="eastAsia"/>
        </w:rPr>
      </w:pPr>
    </w:p>
    <w:p w14:paraId="73EFA0B3">
      <w:pPr>
        <w:pStyle w:val="2"/>
        <w:numPr>
          <w:ilvl w:val="0"/>
          <w:numId w:val="0"/>
        </w:numPr>
        <w:spacing w:before="0" w:after="0"/>
        <w:jc w:val="center"/>
        <w:rPr>
          <w:rFonts w:hint="eastAsia"/>
        </w:rPr>
      </w:pPr>
      <w:bookmarkStart w:id="2" w:name="_Toc220429543"/>
      <w:r>
        <w:rPr>
          <w:rFonts w:hint="eastAsia" w:ascii="宋体" w:hAnsi="宋体" w:eastAsia="宋体"/>
          <w:bCs/>
          <w:color w:val="000000"/>
          <w:sz w:val="24"/>
          <w:szCs w:val="28"/>
        </w:rPr>
        <w:t>二、技术要求</w:t>
      </w:r>
      <w:bookmarkEnd w:id="1"/>
      <w:bookmarkEnd w:id="2"/>
    </w:p>
    <w:p w14:paraId="082573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参选人</w:t>
      </w:r>
      <w:r>
        <w:rPr>
          <w:rFonts w:hint="eastAsia" w:ascii="宋体" w:hAnsi="宋体" w:eastAsia="宋体" w:cs="宋体"/>
          <w:sz w:val="24"/>
          <w:szCs w:val="24"/>
        </w:rPr>
        <w:t>负责所有设备的采购、运输、安装、调试、运维、货品补给、卫生清洁、故障维修、安全排查等全部工作。</w:t>
      </w:r>
    </w:p>
    <w:p w14:paraId="39895B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firstLine="482" w:firstLineChars="200"/>
        <w:jc w:val="left"/>
        <w:textAlignment w:val="auto"/>
        <w:outlineLvl w:val="2"/>
        <w:rPr>
          <w:rFonts w:hint="eastAsia" w:ascii="宋体" w:hAnsi="宋体" w:eastAsia="宋体" w:cs="宋体"/>
          <w:sz w:val="24"/>
          <w:szCs w:val="24"/>
        </w:rPr>
      </w:pPr>
      <w:bookmarkStart w:id="3" w:name="heading_5"/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（一）</w:t>
      </w:r>
      <w:r>
        <w:rPr>
          <w:rFonts w:hint="eastAsia" w:ascii="宋体" w:hAnsi="宋体" w:eastAsia="宋体" w:cs="宋体"/>
          <w:b/>
          <w:sz w:val="24"/>
          <w:szCs w:val="24"/>
        </w:rPr>
        <w:t>设备技术标准与要求</w:t>
      </w:r>
      <w:bookmarkEnd w:id="3"/>
    </w:p>
    <w:p w14:paraId="0CBF4E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参选人</w:t>
      </w:r>
      <w:r>
        <w:rPr>
          <w:rFonts w:hint="eastAsia" w:ascii="宋体" w:hAnsi="宋体" w:eastAsia="宋体" w:cs="宋体"/>
          <w:sz w:val="24"/>
          <w:szCs w:val="24"/>
        </w:rPr>
        <w:t>投放的自动售卖机须为全新、正规合格产品，符合国家食品安全设备标准、电器安全标准及校园管理规范，具体要求如下：</w:t>
      </w:r>
    </w:p>
    <w:p w14:paraId="2CB752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/>
          <w:sz w:val="24"/>
          <w:szCs w:val="24"/>
        </w:rPr>
        <w:t>设备基础参数</w:t>
      </w:r>
      <w:r>
        <w:rPr>
          <w:rFonts w:hint="eastAsia" w:ascii="宋体" w:hAnsi="宋体" w:eastAsia="宋体" w:cs="宋体"/>
          <w:sz w:val="24"/>
          <w:szCs w:val="24"/>
        </w:rPr>
        <w:t>：支持扫码支付、刷脸支付、现金支付等多种支付方式，设备运行稳定、故障率低，具备智能后台管理系统，可实时监控货品库存、设备状态、交易数据。机身外观整洁简约，无破损、无异味，适配校园环境，支持定制校园文化标识。</w:t>
      </w:r>
    </w:p>
    <w:p w14:paraId="3DA473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/>
          <w:sz w:val="24"/>
          <w:szCs w:val="24"/>
        </w:rPr>
        <w:t>功能配置要求</w:t>
      </w:r>
      <w:r>
        <w:rPr>
          <w:rFonts w:hint="eastAsia" w:ascii="宋体" w:hAnsi="宋体" w:eastAsia="宋体" w:cs="宋体"/>
          <w:sz w:val="24"/>
          <w:szCs w:val="24"/>
        </w:rPr>
        <w:t>：具备恒温、冷藏功能（可满足饮用水、饮料、常温零食、日用品存放需求），配备防卡货、自动出货、故障报警功能，自带高清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显示</w:t>
      </w:r>
      <w:r>
        <w:rPr>
          <w:rFonts w:hint="eastAsia" w:ascii="宋体" w:hAnsi="宋体" w:eastAsia="宋体" w:cs="宋体"/>
          <w:sz w:val="24"/>
          <w:szCs w:val="24"/>
        </w:rPr>
        <w:t>屏，可公示货品信息、价格、售后联系方式、食品安全公示信息。设备具备过载保护、漏电保护等安全防护功能，符合校园用电安全标准。</w:t>
      </w:r>
    </w:p>
    <w:p w14:paraId="3E42F8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/>
          <w:sz w:val="24"/>
          <w:szCs w:val="24"/>
        </w:rPr>
        <w:t>智能化要求</w:t>
      </w:r>
      <w:r>
        <w:rPr>
          <w:rFonts w:hint="eastAsia" w:ascii="宋体" w:hAnsi="宋体" w:eastAsia="宋体" w:cs="宋体"/>
          <w:sz w:val="24"/>
          <w:szCs w:val="24"/>
        </w:rPr>
        <w:t>：搭载云端智能管理系统，支持远程后台管理、数据统计、库存预警、故障报修提醒，可定期向学校提交运营数据报表，方便学校监管。设备支持价格统一管控，可后台调价，杜绝私自涨价行为。</w:t>
      </w:r>
    </w:p>
    <w:p w14:paraId="11A45B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firstLine="482" w:firstLineChars="200"/>
        <w:jc w:val="left"/>
        <w:textAlignment w:val="auto"/>
        <w:outlineLvl w:val="2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bookmarkStart w:id="4" w:name="heading_6"/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（二）货品经营管理要求</w:t>
      </w:r>
      <w:bookmarkEnd w:id="4"/>
    </w:p>
    <w:p w14:paraId="2B7F62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/>
          <w:sz w:val="24"/>
          <w:szCs w:val="24"/>
        </w:rPr>
        <w:t>货品品类</w:t>
      </w:r>
      <w:r>
        <w:rPr>
          <w:rFonts w:hint="eastAsia" w:ascii="宋体" w:hAnsi="宋体" w:eastAsia="宋体" w:cs="宋体"/>
          <w:sz w:val="24"/>
          <w:szCs w:val="24"/>
        </w:rPr>
        <w:t>：仅限售卖合规饮用水、瓶装饮料、正规预包装零食，严禁售卖烟酒、槟榔、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“三无”产品</w:t>
      </w:r>
      <w:r>
        <w:rPr>
          <w:rFonts w:hint="eastAsia" w:ascii="宋体" w:hAnsi="宋体" w:eastAsia="宋体" w:cs="宋体"/>
          <w:sz w:val="24"/>
          <w:szCs w:val="24"/>
        </w:rPr>
        <w:t>、过期变质食品、低俗及违规商品，严禁售卖不符合学生身心健康的商品。</w:t>
      </w:r>
    </w:p>
    <w:p w14:paraId="2D525A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firstLine="482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/>
          <w:sz w:val="24"/>
          <w:szCs w:val="24"/>
        </w:rPr>
        <w:t>货品质量</w:t>
      </w:r>
      <w:r>
        <w:rPr>
          <w:rFonts w:hint="eastAsia" w:ascii="宋体" w:hAnsi="宋体" w:eastAsia="宋体" w:cs="宋体"/>
          <w:sz w:val="24"/>
          <w:szCs w:val="24"/>
        </w:rPr>
        <w:t>：所有货品必须为正规厂家生产、有质量合格证书、在保质期内的产品，进货渠道可追溯，严格遵守《中华人民共和国食品安全法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》等</w:t>
      </w:r>
      <w:r>
        <w:rPr>
          <w:rFonts w:hint="eastAsia" w:ascii="宋体" w:hAnsi="宋体" w:eastAsia="宋体" w:cs="宋体"/>
          <w:sz w:val="24"/>
          <w:szCs w:val="24"/>
        </w:rPr>
        <w:t>相关规定，建立完整的进货台账、质检台账，随时接受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学院</w:t>
      </w:r>
      <w:r>
        <w:rPr>
          <w:rFonts w:hint="eastAsia" w:ascii="宋体" w:hAnsi="宋体" w:eastAsia="宋体" w:cs="宋体"/>
          <w:sz w:val="24"/>
          <w:szCs w:val="24"/>
        </w:rPr>
        <w:t>及市场监管部门检查。</w:t>
      </w:r>
    </w:p>
    <w:p w14:paraId="0BE446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/>
          <w:sz w:val="24"/>
          <w:szCs w:val="24"/>
        </w:rPr>
        <w:t>价格管控</w:t>
      </w:r>
      <w:r>
        <w:rPr>
          <w:rFonts w:hint="eastAsia" w:ascii="宋体" w:hAnsi="宋体" w:eastAsia="宋体" w:cs="宋体"/>
          <w:sz w:val="24"/>
          <w:szCs w:val="24"/>
        </w:rPr>
        <w:t>：校园售卖机所有货品售价不得高于周边商超市场价，实行平价经营，明码标价，价格公示清晰，严禁哄抬物价、变相涨价，学校有权对货品价格进行常态化监督，发现违规涨价立即要求整改，情节严重的终止合同。</w:t>
      </w:r>
    </w:p>
    <w:p w14:paraId="302581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firstLine="482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b/>
          <w:sz w:val="24"/>
          <w:szCs w:val="24"/>
        </w:rPr>
        <w:t>货品更新</w:t>
      </w:r>
      <w:r>
        <w:rPr>
          <w:rFonts w:hint="eastAsia" w:ascii="宋体" w:hAnsi="宋体" w:eastAsia="宋体" w:cs="宋体"/>
          <w:sz w:val="24"/>
          <w:szCs w:val="24"/>
        </w:rPr>
        <w:t>：定期更新货品品类，贴合师生需求，及时下架临期、滞销、口碑较差的商品，保障货品新鲜、品类丰富。</w:t>
      </w:r>
    </w:p>
    <w:p w14:paraId="372746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firstLine="482" w:firstLineChars="200"/>
        <w:jc w:val="left"/>
        <w:textAlignment w:val="auto"/>
        <w:outlineLvl w:val="2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bookmarkStart w:id="5" w:name="heading_7"/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（三）运营服务要求</w:t>
      </w:r>
      <w:bookmarkEnd w:id="5"/>
    </w:p>
    <w:p w14:paraId="0F5ED0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/>
          <w:sz w:val="24"/>
          <w:szCs w:val="24"/>
        </w:rPr>
        <w:t>日常补给</w:t>
      </w:r>
      <w:r>
        <w:rPr>
          <w:rFonts w:hint="eastAsia" w:ascii="宋体" w:hAnsi="宋体" w:eastAsia="宋体" w:cs="宋体"/>
          <w:sz w:val="24"/>
          <w:szCs w:val="24"/>
        </w:rPr>
        <w:t>：建立常态化补货机制，根据货品销量及时补货，热门货品不得出现长期断货情况，保证设备货品充盈。每日巡查设备运行状态、货品情况，做好巡查记录。</w:t>
      </w:r>
    </w:p>
    <w:p w14:paraId="2769D5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firstLine="482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/>
          <w:sz w:val="24"/>
          <w:szCs w:val="24"/>
        </w:rPr>
        <w:t>卫生保洁</w:t>
      </w:r>
      <w:r>
        <w:rPr>
          <w:rFonts w:hint="eastAsia" w:ascii="宋体" w:hAnsi="宋体" w:eastAsia="宋体" w:cs="宋体"/>
          <w:sz w:val="24"/>
          <w:szCs w:val="24"/>
        </w:rPr>
        <w:t>：每日对售卖机机身、出货口、展示面进行清洁消毒，每周深度清洁一次，保持设备干净整洁、无灰尘、无污渍、无杂物堆积，杜绝卫生死角，符合校园卫生管理标准。</w:t>
      </w:r>
    </w:p>
    <w:p w14:paraId="1865EF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firstLine="482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故障维修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：建立7×24小时售后响应机制，接到设备故障、投诉报修后，一般故障当日修复，重大故障24小时内完成维修或设备更换，设备整体完好率保持100%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保障设备正常运行。</w:t>
      </w:r>
    </w:p>
    <w:p w14:paraId="44E433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firstLine="482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售后投诉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：公示专属售后电话、投诉渠道，12小时内响应师</w:t>
      </w:r>
      <w:r>
        <w:rPr>
          <w:rFonts w:hint="eastAsia" w:ascii="宋体" w:hAnsi="宋体" w:eastAsia="宋体" w:cs="宋体"/>
          <w:sz w:val="24"/>
          <w:szCs w:val="24"/>
        </w:rPr>
        <w:t>生投诉、建议，及时处理消费纠纷、货品质量问题，投诉处理闭环率100%。</w:t>
      </w:r>
    </w:p>
    <w:p w14:paraId="50412A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firstLine="482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b/>
          <w:sz w:val="24"/>
          <w:szCs w:val="24"/>
        </w:rPr>
        <w:t>合规运营</w:t>
      </w:r>
      <w:r>
        <w:rPr>
          <w:rFonts w:hint="eastAsia" w:ascii="宋体" w:hAnsi="宋体" w:eastAsia="宋体" w:cs="宋体"/>
          <w:sz w:val="24"/>
          <w:szCs w:val="24"/>
        </w:rPr>
        <w:t>：严格遵守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学院</w:t>
      </w:r>
      <w:r>
        <w:rPr>
          <w:rFonts w:hint="eastAsia" w:ascii="宋体" w:hAnsi="宋体" w:eastAsia="宋体" w:cs="宋体"/>
          <w:sz w:val="24"/>
          <w:szCs w:val="24"/>
        </w:rPr>
        <w:t>校园管理、消防安全、用电安全、食品安全等各项规章制度，服从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学院</w:t>
      </w:r>
      <w:r>
        <w:rPr>
          <w:rFonts w:hint="eastAsia" w:ascii="宋体" w:hAnsi="宋体" w:eastAsia="宋体" w:cs="宋体"/>
          <w:sz w:val="24"/>
          <w:szCs w:val="24"/>
        </w:rPr>
        <w:t>后勤部门统一管理，主动配合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学院</w:t>
      </w:r>
      <w:r>
        <w:rPr>
          <w:rFonts w:hint="eastAsia" w:ascii="宋体" w:hAnsi="宋体" w:eastAsia="宋体" w:cs="宋体"/>
          <w:sz w:val="24"/>
          <w:szCs w:val="24"/>
        </w:rPr>
        <w:t>日常检查、专项督查，按时提交运营报表、安全台账。</w:t>
      </w:r>
    </w:p>
    <w:p w14:paraId="0D7F06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firstLine="482" w:firstLineChars="200"/>
        <w:jc w:val="left"/>
        <w:textAlignment w:val="auto"/>
        <w:outlineLvl w:val="2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bookmarkStart w:id="6" w:name="heading_8"/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（四）场地与费用说明</w:t>
      </w:r>
      <w:bookmarkEnd w:id="6"/>
    </w:p>
    <w:p w14:paraId="11C193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1.学院</w:t>
      </w:r>
      <w:r>
        <w:rPr>
          <w:rFonts w:hint="eastAsia" w:ascii="宋体" w:hAnsi="宋体" w:eastAsia="宋体" w:cs="宋体"/>
          <w:sz w:val="24"/>
          <w:szCs w:val="24"/>
        </w:rPr>
        <w:t>提供校园合规场地及正常用电接口，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参选人</w:t>
      </w:r>
      <w:r>
        <w:rPr>
          <w:rFonts w:hint="eastAsia" w:ascii="宋体" w:hAnsi="宋体" w:eastAsia="宋体" w:cs="宋体"/>
          <w:sz w:val="24"/>
          <w:szCs w:val="24"/>
        </w:rPr>
        <w:t>自行承担设备电费、设备维修费、货品成本、人工运维费、消毒耗材费等所有运营成本。</w:t>
      </w:r>
    </w:p>
    <w:p w14:paraId="2D7406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项目运营期间产生的所有经营收益归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参选人</w:t>
      </w:r>
      <w:r>
        <w:rPr>
          <w:rFonts w:hint="eastAsia" w:ascii="宋体" w:hAnsi="宋体" w:eastAsia="宋体" w:cs="宋体"/>
          <w:sz w:val="24"/>
          <w:szCs w:val="24"/>
        </w:rPr>
        <w:t>所有，同时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参选人</w:t>
      </w:r>
      <w:r>
        <w:rPr>
          <w:rFonts w:hint="eastAsia" w:ascii="宋体" w:hAnsi="宋体" w:eastAsia="宋体" w:cs="宋体"/>
          <w:sz w:val="24"/>
          <w:szCs w:val="24"/>
        </w:rPr>
        <w:t>承担所有经营风险、安全风险、法律风险。</w:t>
      </w:r>
    </w:p>
    <w:p w14:paraId="6B52FC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firstLine="482" w:firstLineChars="200"/>
        <w:jc w:val="left"/>
        <w:textAlignment w:val="auto"/>
        <w:outlineLvl w:val="2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bookmarkStart w:id="7" w:name="heading_9"/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（五）人员配置要求</w:t>
      </w:r>
      <w:bookmarkEnd w:id="7"/>
    </w:p>
    <w:p w14:paraId="66771D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宋体" w:hAnsi="宋体" w:cs="宋体"/>
          <w:b/>
          <w:bCs/>
          <w:color w:val="000000"/>
          <w:spacing w:val="2"/>
          <w:kern w:val="0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参选人</w:t>
      </w:r>
      <w:r>
        <w:rPr>
          <w:rFonts w:hint="eastAsia" w:ascii="宋体" w:hAnsi="宋体" w:eastAsia="宋体" w:cs="宋体"/>
          <w:sz w:val="24"/>
          <w:szCs w:val="24"/>
        </w:rPr>
        <w:t>需为本项目配置专属运营团队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配备项目负责人、运维人员、补货保洁人员，专人对接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学院</w:t>
      </w:r>
      <w:r>
        <w:rPr>
          <w:rFonts w:hint="eastAsia" w:ascii="宋体" w:hAnsi="宋体" w:eastAsia="宋体" w:cs="宋体"/>
          <w:sz w:val="24"/>
          <w:szCs w:val="24"/>
        </w:rPr>
        <w:t>后勤管理部门，负责日常沟通、运维管理、问题整改。所有工作人员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须</w:t>
      </w:r>
      <w:r>
        <w:rPr>
          <w:rFonts w:hint="eastAsia" w:ascii="宋体" w:hAnsi="宋体" w:eastAsia="宋体" w:cs="宋体"/>
          <w:sz w:val="24"/>
          <w:szCs w:val="24"/>
        </w:rPr>
        <w:t>持证上岗，身体健康、无不良记录，入校作业需遵守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学院校内服务单位</w:t>
      </w:r>
      <w:r>
        <w:rPr>
          <w:rFonts w:hint="eastAsia" w:ascii="宋体" w:hAnsi="宋体" w:eastAsia="宋体" w:cs="宋体"/>
          <w:sz w:val="24"/>
          <w:szCs w:val="24"/>
        </w:rPr>
        <w:t>人员管理规定，统一着装、文明作业。</w:t>
      </w:r>
      <w:bookmarkStart w:id="8" w:name="_GoBack"/>
      <w:bookmarkEnd w:id="8"/>
    </w:p>
    <w:p w14:paraId="0AD2B736">
      <w:r>
        <w:rPr>
          <w:rFonts w:hint="eastAsia" w:ascii="宋体" w:hAnsi="宋体" w:cs="宋体"/>
          <w:b/>
          <w:bCs/>
          <w:color w:val="000000"/>
          <w:spacing w:val="2"/>
          <w:kern w:val="0"/>
        </w:rPr>
        <w:t>注：以上“技术要求”为实质性条款须完全响应，否则参选无效。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F"/>
    <w:multiLevelType w:val="multilevel"/>
    <w:tmpl w:val="0000000F"/>
    <w:lvl w:ilvl="0" w:tentative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2"/>
      <w:suff w:val="space"/>
      <w:lvlText w:val="第%2章 "/>
      <w:lvlJc w:val="right"/>
      <w:pPr>
        <w:ind w:left="576" w:hanging="576"/>
      </w:pPr>
      <w:rPr>
        <w:rFonts w:hint="default" w:cs="Times New Roman"/>
        <w:bCs w:val="0"/>
        <w:i w:val="0"/>
        <w:iCs w:val="0"/>
        <w:caps w:val="0"/>
        <w:smallCaps w:val="0"/>
        <w:vanish w:val="0"/>
        <w:spacing w:val="0"/>
        <w:kern w:val="0"/>
        <w:position w:val="0"/>
        <w:sz w:val="28"/>
        <w:u w:val="none"/>
        <w:vertAlign w:val="baseline"/>
      </w:rPr>
    </w:lvl>
    <w:lvl w:ilvl="2" w:tentative="0">
      <w:start w:val="1"/>
      <w:numFmt w:val="decimal"/>
      <w:lvlText w:val="2.%3"/>
      <w:lvlJc w:val="left"/>
      <w:pPr>
        <w:tabs>
          <w:tab w:val="left" w:pos="1080"/>
        </w:tabs>
        <w:ind w:left="1080" w:hanging="720"/>
      </w:pPr>
      <w:rPr>
        <w:rFonts w:hint="eastAsia"/>
      </w:rPr>
    </w:lvl>
    <w:lvl w:ilvl="3" w:tentative="0">
      <w:start w:val="1"/>
      <w:numFmt w:val="decimal"/>
      <w:lvlText w:val="2.%4"/>
      <w:lvlJc w:val="left"/>
      <w:pPr>
        <w:tabs>
          <w:tab w:val="left" w:pos="1330"/>
        </w:tabs>
        <w:ind w:left="1330" w:hanging="864"/>
      </w:pPr>
      <w:rPr>
        <w:rFonts w:hint="eastAsia"/>
      </w:rPr>
    </w:lvl>
    <w:lvl w:ilvl="4" w:tentative="0">
      <w:start w:val="1"/>
      <w:numFmt w:val="decimal"/>
      <w:lvlText w:val="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AF3846"/>
    <w:rsid w:val="66AF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60" w:lineRule="exact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adjustRightInd w:val="0"/>
      <w:spacing w:before="260" w:after="260" w:line="416" w:lineRule="atLeast"/>
      <w:textAlignment w:val="baseline"/>
      <w:outlineLvl w:val="1"/>
    </w:pPr>
    <w:rPr>
      <w:rFonts w:ascii="Arial" w:hAnsi="Arial" w:eastAsia="黑体"/>
      <w:b/>
      <w:kern w:val="0"/>
      <w:sz w:val="32"/>
      <w:szCs w:val="20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2026-10-27T08:11:00Z</dcterms:created>
  <dc:creator>包泽宁</dc:creator>
  <cp:lastModifiedBy>包泽宁</cp:lastModifiedBy>
  <dcterms:modified xsi:type="dcterms:W3CDTF">2026-10-27T08:11:22Z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5DB5761E3F5048868C5906FFE8075AEE_11</vt:lpwstr>
  </property>
  <property fmtid="{D5CDD505-2E9C-101B-9397-08002B2CF9AE}" pid="4" name="KSOTemplateDocerSaveRecord">
    <vt:lpwstr>eyJoZGlkIjoiYzA3ZGNiZWNmNzhmMDhkNjQ2MTRmOTUyZWY2Yjc5ZGMiLCJ1c2VySWQiOiIyODQ3NjAxNjYifQ==</vt:lpwstr>
  </property>
</Properties>
</file>