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A3807">
      <w:pPr>
        <w:pStyle w:val="3"/>
        <w:numPr>
          <w:ilvl w:val="0"/>
          <w:numId w:val="0"/>
        </w:numPr>
        <w:spacing w:before="0" w:after="0"/>
        <w:rPr>
          <w:rFonts w:hint="eastAsia" w:ascii="宋体" w:hAnsi="宋体" w:eastAsia="宋体"/>
          <w:color w:val="000000"/>
          <w:sz w:val="28"/>
          <w:szCs w:val="28"/>
          <w:highlight w:val="none"/>
          <w:lang w:eastAsia="zh-CN"/>
        </w:rPr>
      </w:pPr>
      <w:bookmarkStart w:id="0" w:name="_Toc6041"/>
      <w:bookmarkStart w:id="1" w:name="_Toc26448"/>
      <w:r>
        <w:rPr>
          <w:rFonts w:hint="eastAsia" w:ascii="宋体" w:hAnsi="宋体"/>
          <w:b/>
          <w:bCs/>
          <w:color w:val="000000"/>
          <w:kern w:val="0"/>
          <w:sz w:val="28"/>
          <w:szCs w:val="28"/>
          <w:lang w:val="en-US" w:eastAsia="zh-CN" w:bidi="ar-SA"/>
        </w:rPr>
        <w:t>一、</w:t>
      </w:r>
      <w:r>
        <w:rPr>
          <w:rFonts w:hint="eastAsia" w:ascii="宋体" w:hAnsi="宋体"/>
          <w:color w:val="000000"/>
          <w:sz w:val="28"/>
          <w:szCs w:val="28"/>
          <w:highlight w:val="none"/>
          <w:lang w:val="en-US" w:eastAsia="zh-CN"/>
        </w:rPr>
        <w:t>采购清单</w:t>
      </w:r>
      <w:bookmarkEnd w:id="0"/>
    </w:p>
    <w:tbl>
      <w:tblPr>
        <w:tblStyle w:val="8"/>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6055"/>
        <w:gridCol w:w="733"/>
        <w:gridCol w:w="724"/>
        <w:gridCol w:w="1313"/>
      </w:tblGrid>
      <w:tr w14:paraId="36DB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9" w:type="dxa"/>
            <w:noWrap w:val="0"/>
            <w:vAlign w:val="center"/>
          </w:tcPr>
          <w:p w14:paraId="3541FE21">
            <w:pPr>
              <w:wordWrap w:val="0"/>
              <w:topLinePunct/>
              <w:spacing w:line="460" w:lineRule="exact"/>
              <w:jc w:val="center"/>
              <w:rPr>
                <w:rFonts w:ascii="宋体" w:hAnsi="宋体" w:eastAsia="宋体" w:cs="宋体"/>
                <w:b/>
                <w:bCs/>
                <w:sz w:val="24"/>
              </w:rPr>
            </w:pPr>
            <w:r>
              <w:rPr>
                <w:rFonts w:hint="eastAsia" w:ascii="宋体" w:hAnsi="宋体" w:eastAsia="宋体" w:cs="宋体"/>
                <w:b/>
                <w:bCs/>
                <w:sz w:val="24"/>
              </w:rPr>
              <w:t>序号</w:t>
            </w:r>
          </w:p>
        </w:tc>
        <w:tc>
          <w:tcPr>
            <w:tcW w:w="6055" w:type="dxa"/>
            <w:noWrap w:val="0"/>
            <w:vAlign w:val="center"/>
          </w:tcPr>
          <w:p w14:paraId="083DBFDA">
            <w:pPr>
              <w:wordWrap w:val="0"/>
              <w:topLinePunct/>
              <w:spacing w:line="460" w:lineRule="exact"/>
              <w:jc w:val="center"/>
              <w:rPr>
                <w:rFonts w:hint="default" w:ascii="宋体" w:hAnsi="宋体" w:eastAsia="宋体" w:cs="宋体"/>
                <w:b/>
                <w:bCs/>
                <w:sz w:val="24"/>
                <w:lang w:val="en-US" w:eastAsia="zh-CN"/>
              </w:rPr>
            </w:pPr>
            <w:bookmarkStart w:id="2" w:name="_Toc4137"/>
            <w:r>
              <w:rPr>
                <w:rFonts w:hint="eastAsia" w:ascii="宋体" w:hAnsi="宋体" w:eastAsia="宋体" w:cs="宋体"/>
                <w:b/>
                <w:bCs/>
                <w:i w:val="0"/>
                <w:iCs w:val="0"/>
                <w:color w:val="000000"/>
                <w:kern w:val="0"/>
                <w:sz w:val="24"/>
                <w:szCs w:val="24"/>
                <w:highlight w:val="none"/>
                <w:vertAlign w:val="baseline"/>
                <w:lang w:val="en-US" w:eastAsia="zh-CN" w:bidi="ar-SA"/>
              </w:rPr>
              <w:t>采购标的名称</w:t>
            </w:r>
            <w:bookmarkEnd w:id="2"/>
          </w:p>
        </w:tc>
        <w:tc>
          <w:tcPr>
            <w:tcW w:w="733" w:type="dxa"/>
            <w:noWrap w:val="0"/>
            <w:vAlign w:val="center"/>
          </w:tcPr>
          <w:p w14:paraId="34709049">
            <w:pPr>
              <w:wordWrap w:val="0"/>
              <w:topLinePunct/>
              <w:spacing w:line="460" w:lineRule="exact"/>
              <w:jc w:val="center"/>
              <w:rPr>
                <w:rFonts w:ascii="宋体" w:hAnsi="宋体" w:eastAsia="宋体" w:cs="宋体"/>
                <w:b/>
                <w:bCs/>
                <w:sz w:val="24"/>
              </w:rPr>
            </w:pPr>
            <w:r>
              <w:rPr>
                <w:rFonts w:hint="eastAsia" w:ascii="宋体" w:hAnsi="宋体" w:eastAsia="宋体" w:cs="宋体"/>
                <w:b/>
                <w:bCs/>
                <w:sz w:val="24"/>
              </w:rPr>
              <w:t>数量</w:t>
            </w:r>
          </w:p>
        </w:tc>
        <w:tc>
          <w:tcPr>
            <w:tcW w:w="724" w:type="dxa"/>
            <w:noWrap w:val="0"/>
            <w:vAlign w:val="center"/>
          </w:tcPr>
          <w:p w14:paraId="3AAAB840">
            <w:pPr>
              <w:wordWrap w:val="0"/>
              <w:topLinePunct/>
              <w:spacing w:line="460" w:lineRule="exact"/>
              <w:jc w:val="center"/>
              <w:rPr>
                <w:rFonts w:ascii="宋体" w:hAnsi="宋体" w:eastAsia="宋体" w:cs="宋体"/>
                <w:b/>
                <w:bCs/>
                <w:sz w:val="24"/>
              </w:rPr>
            </w:pPr>
            <w:r>
              <w:rPr>
                <w:rFonts w:hint="eastAsia" w:ascii="宋体" w:hAnsi="宋体" w:eastAsia="宋体" w:cs="宋体"/>
                <w:b/>
                <w:bCs/>
                <w:sz w:val="24"/>
              </w:rPr>
              <w:t>单位</w:t>
            </w:r>
          </w:p>
        </w:tc>
        <w:tc>
          <w:tcPr>
            <w:tcW w:w="1313" w:type="dxa"/>
            <w:noWrap w:val="0"/>
            <w:vAlign w:val="center"/>
          </w:tcPr>
          <w:p w14:paraId="060D0830">
            <w:pPr>
              <w:wordWrap w:val="0"/>
              <w:topLinePunct/>
              <w:spacing w:line="460" w:lineRule="exact"/>
              <w:jc w:val="center"/>
              <w:rPr>
                <w:rFonts w:hint="eastAsia" w:ascii="宋体" w:hAnsi="宋体" w:eastAsia="宋体" w:cs="宋体"/>
                <w:b/>
                <w:bCs/>
                <w:sz w:val="24"/>
                <w:lang w:eastAsia="zh-CN"/>
              </w:rPr>
            </w:pPr>
            <w:r>
              <w:rPr>
                <w:rFonts w:hint="eastAsia" w:ascii="宋体" w:hAnsi="宋体" w:eastAsia="宋体" w:cs="宋体"/>
                <w:b/>
                <w:bCs/>
                <w:sz w:val="24"/>
                <w:highlight w:val="none"/>
                <w:lang w:val="en-US" w:eastAsia="zh-CN"/>
              </w:rPr>
              <w:t>备注</w:t>
            </w:r>
          </w:p>
        </w:tc>
      </w:tr>
      <w:tr w14:paraId="44C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9" w:type="dxa"/>
            <w:noWrap w:val="0"/>
            <w:vAlign w:val="center"/>
          </w:tcPr>
          <w:p w14:paraId="27982E1A">
            <w:pPr>
              <w:wordWrap w:val="0"/>
              <w:topLinePunct/>
              <w:spacing w:line="460" w:lineRule="exact"/>
              <w:jc w:val="center"/>
              <w:rPr>
                <w:rFonts w:ascii="宋体" w:hAnsi="宋体" w:eastAsia="宋体" w:cs="宋体"/>
                <w:sz w:val="24"/>
              </w:rPr>
            </w:pPr>
            <w:r>
              <w:rPr>
                <w:rFonts w:hint="eastAsia" w:ascii="宋体" w:hAnsi="宋体" w:eastAsia="宋体" w:cs="宋体"/>
                <w:sz w:val="24"/>
              </w:rPr>
              <w:t>1</w:t>
            </w:r>
          </w:p>
        </w:tc>
        <w:tc>
          <w:tcPr>
            <w:tcW w:w="6055" w:type="dxa"/>
            <w:noWrap w:val="0"/>
            <w:vAlign w:val="center"/>
          </w:tcPr>
          <w:p w14:paraId="258071DD">
            <w:pPr>
              <w:pageBreakBefore w:val="0"/>
              <w:kinsoku/>
              <w:wordWrap/>
              <w:overflowPunct/>
              <w:topLinePunct w:val="0"/>
              <w:bidi w:val="0"/>
              <w:snapToGrid/>
              <w:spacing w:line="460" w:lineRule="exact"/>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江西省信江船闸通航中心双港船闸电缆沟及管道沟盖板防腐项目</w:t>
            </w:r>
          </w:p>
        </w:tc>
        <w:tc>
          <w:tcPr>
            <w:tcW w:w="733" w:type="dxa"/>
            <w:noWrap w:val="0"/>
            <w:vAlign w:val="center"/>
          </w:tcPr>
          <w:p w14:paraId="328A1EB5">
            <w:pPr>
              <w:pageBreakBefore w:val="0"/>
              <w:kinsoku/>
              <w:wordWrap/>
              <w:overflowPunct/>
              <w:topLinePunct w:val="0"/>
              <w:bidi w:val="0"/>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724" w:type="dxa"/>
            <w:noWrap w:val="0"/>
            <w:vAlign w:val="center"/>
          </w:tcPr>
          <w:p w14:paraId="05B4CE5B">
            <w:pPr>
              <w:pageBreakBefore w:val="0"/>
              <w:kinsoku/>
              <w:wordWrap/>
              <w:overflowPunct/>
              <w:topLinePunct w:val="0"/>
              <w:bidi w:val="0"/>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w:t>
            </w:r>
          </w:p>
        </w:tc>
        <w:tc>
          <w:tcPr>
            <w:tcW w:w="1313" w:type="dxa"/>
            <w:noWrap w:val="0"/>
            <w:vAlign w:val="center"/>
          </w:tcPr>
          <w:p w14:paraId="7F3DB560">
            <w:pPr>
              <w:pageBreakBefore w:val="0"/>
              <w:kinsoku/>
              <w:wordWrap/>
              <w:overflowPunct/>
              <w:topLinePunct w:val="0"/>
              <w:bidi w:val="0"/>
              <w:snapToGrid/>
              <w:spacing w:line="46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bl>
    <w:p w14:paraId="7BCB93CB">
      <w:pPr>
        <w:bidi w:val="0"/>
      </w:pPr>
    </w:p>
    <w:p w14:paraId="5624497D">
      <w:pPr>
        <w:pStyle w:val="3"/>
        <w:spacing w:before="0" w:after="0"/>
        <w:rPr>
          <w:rFonts w:hint="eastAsia" w:ascii="宋体" w:hAnsi="宋体"/>
          <w:color w:val="000000"/>
          <w:sz w:val="28"/>
          <w:szCs w:val="28"/>
          <w:highlight w:val="none"/>
        </w:rPr>
      </w:pPr>
      <w:bookmarkStart w:id="3" w:name="_Toc98514396"/>
      <w:bookmarkStart w:id="4" w:name="_Toc22011"/>
      <w:r>
        <w:rPr>
          <w:rFonts w:hint="eastAsia" w:ascii="宋体" w:hAnsi="宋体"/>
          <w:color w:val="000000"/>
          <w:sz w:val="28"/>
          <w:szCs w:val="28"/>
          <w:highlight w:val="none"/>
          <w:lang w:val="en-US" w:eastAsia="zh-CN"/>
        </w:rPr>
        <w:t>二</w:t>
      </w:r>
      <w:r>
        <w:rPr>
          <w:rFonts w:hint="eastAsia" w:ascii="宋体" w:hAnsi="宋体"/>
          <w:color w:val="000000"/>
          <w:sz w:val="28"/>
          <w:szCs w:val="28"/>
          <w:highlight w:val="none"/>
        </w:rPr>
        <w:t>、技术要求</w:t>
      </w:r>
      <w:bookmarkEnd w:id="1"/>
      <w:bookmarkEnd w:id="3"/>
      <w:bookmarkEnd w:id="4"/>
    </w:p>
    <w:p w14:paraId="660DD2B6">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bCs/>
          <w:color w:val="auto"/>
          <w:sz w:val="24"/>
          <w:szCs w:val="24"/>
          <w:highlight w:val="none"/>
        </w:rPr>
      </w:pPr>
      <w:bookmarkStart w:id="5" w:name="_Hlk99207603"/>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项目内容</w:t>
      </w:r>
    </w:p>
    <w:bookmarkEnd w:id="5"/>
    <w:p w14:paraId="6581A016">
      <w:pPr>
        <w:pStyle w:val="6"/>
        <w:keepNext w:val="0"/>
        <w:keepLines w:val="0"/>
        <w:widowControl w:val="0"/>
        <w:suppressLineNumbers w:val="0"/>
        <w:spacing w:before="0" w:beforeAutospacing="0" w:after="0" w:afterAutospacing="0" w:line="460" w:lineRule="exact"/>
        <w:ind w:left="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对双港船闸内以下区域的电缆沟及管道沟钢盖板正反双面进行系统性防腐处理：</w:t>
      </w:r>
    </w:p>
    <w:p w14:paraId="520109FC">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1、闸室墙区域：两侧电缆沟及管道沟钢盖板，共四条。单条长度约230米，盖板宽度0.9米。</w:t>
      </w:r>
    </w:p>
    <w:p w14:paraId="6E2D37EC">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2、闸首平台区域：四个闸首平台液压管道沟钢盖板，共四条。单条长度约25米，盖板宽度0.56米。</w:t>
      </w:r>
    </w:p>
    <w:p w14:paraId="1971E8BF">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3、施工内容：包括所有施工钢盖板的掀开、复位，以及板体正反双面的清理、除锈、涂装和电缆沟内垃圾、</w:t>
      </w:r>
      <w:r>
        <w:rPr>
          <w:rFonts w:hint="eastAsia" w:ascii="宋体" w:hAnsi="宋体" w:eastAsia="宋体" w:cs="宋体"/>
          <w:kern w:val="0"/>
          <w:sz w:val="21"/>
          <w:szCs w:val="21"/>
          <w:lang w:val="en-US" w:eastAsia="zh-CN" w:bidi="ar"/>
        </w:rPr>
        <w:t>排水孔疏通</w:t>
      </w:r>
      <w:r>
        <w:rPr>
          <w:rFonts w:hint="eastAsia" w:ascii="宋体" w:hAnsi="宋体" w:eastAsia="宋体" w:cs="宋体"/>
          <w:kern w:val="2"/>
          <w:sz w:val="24"/>
          <w:szCs w:val="24"/>
          <w:lang w:val="en-US" w:eastAsia="zh-CN" w:bidi="ar-SA"/>
        </w:rPr>
        <w:t>及施工现场的清理恢复。</w:t>
      </w:r>
    </w:p>
    <w:p w14:paraId="0C9504BA">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lang w:val="en-US" w:eastAsia="zh-CN"/>
        </w:rPr>
        <w:t>（二）技术要求</w:t>
      </w:r>
    </w:p>
    <w:p w14:paraId="2E9687A1">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1、表面处理</w:t>
      </w:r>
    </w:p>
    <w:p w14:paraId="410A8219">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采用机械方式（如角磨机、钢丝轮等动力工具）彻底清除盖板正反两面所有松动的锈层、氧化皮、油污、灰尘及旧漆皮。</w:t>
      </w:r>
    </w:p>
    <w:p w14:paraId="7B3C92B4">
      <w:p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处理后表面应无可见油脂、污垢、松动的氧化皮和涂层，达到St2级或更优 的清洁度标准（标准解释见附件），确保基材干燥、洁净，满足涂装要求。</w:t>
      </w:r>
    </w:p>
    <w:p w14:paraId="74E6F151">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2、涂层体系</w:t>
      </w:r>
    </w:p>
    <w:p w14:paraId="46C4C40D">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采用底漆、中间漆、面漆配套的三层涂层体系。</w:t>
      </w:r>
    </w:p>
    <w:p w14:paraId="5B01F9B1">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底漆：应选用具有良好防锈和附着力的涂料，如环氧富锌底漆或等效产品。</w:t>
      </w:r>
    </w:p>
    <w:p w14:paraId="2F7758FC">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中间漆：应选用能增强涂层整体厚度和屏蔽性能的涂料，如环氧云铁中间漆或等效产品。</w:t>
      </w:r>
    </w:p>
    <w:p w14:paraId="2D06E3A2">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面漆：应选用耐候性、装饰性良好的涂料，如丙烯酸聚氨酯面漆或等效产品。</w:t>
      </w:r>
    </w:p>
    <w:p w14:paraId="0BD5CBFE">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总干膜厚度：三道涂层最终总干膜厚度应不低于150μm。供应商须在响应文件中明确其拟采用各道涂层的干膜厚度设计。</w:t>
      </w:r>
    </w:p>
    <w:p w14:paraId="211D0E33">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3、施工、安全与质量控制</w:t>
      </w:r>
    </w:p>
    <w:p w14:paraId="54D2A595">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环境要求：施工环境温度宜在5℃以上，相对湿度低于85%，雨、雾、大风天气及基材表面有凝露时不得施工。</w:t>
      </w:r>
    </w:p>
    <w:p w14:paraId="39F3B579">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工艺要求：各道涂层涂装间隔时间须遵守所用涂料的产品说明书规定。对盖板的边角、焊缝、螺栓孔等部位须进行重点涂装，确保覆盖严密，无漏涂。</w:t>
      </w:r>
    </w:p>
    <w:p w14:paraId="4C676898">
      <w:pPr>
        <w:pStyle w:val="5"/>
        <w:ind w:firstLine="480" w:firstLineChars="200"/>
        <w:rPr>
          <w:rFonts w:hint="eastAsia" w:ascii="宋体" w:hAnsi="宋体"/>
          <w:i/>
          <w:iCs/>
          <w:color w:val="FF0000"/>
          <w:highlight w:val="none"/>
        </w:rPr>
      </w:pPr>
      <w:r>
        <w:rPr>
          <w:rFonts w:hint="eastAsia" w:ascii="宋体" w:hAnsi="宋体" w:eastAsia="宋体" w:cs="宋体"/>
          <w:sz w:val="24"/>
          <w:szCs w:val="24"/>
          <w:lang w:val="en-US" w:eastAsia="zh-CN"/>
        </w:rPr>
        <w:t>3.3</w:t>
      </w:r>
      <w:r>
        <w:rPr>
          <w:rFonts w:hint="eastAsia" w:ascii="宋体" w:hAnsi="宋体" w:eastAsia="宋体" w:cs="宋体"/>
          <w:sz w:val="24"/>
          <w:szCs w:val="24"/>
        </w:rPr>
        <w:t>安全与文明施工：供应商须负责施工期间的作业安全与现场管理，采取必要的安全防护与环境保护措施，及时清理施工垃圾，保持现场整洁。施工过程不得影响船闸正常通航运行，须完全服从现场管理。</w:t>
      </w:r>
    </w:p>
    <w:p w14:paraId="04B3D975">
      <w:pPr>
        <w:pStyle w:val="4"/>
        <w:ind w:left="0" w:leftChars="0" w:firstLine="0" w:firstLineChars="0"/>
        <w:rPr>
          <w:rFonts w:ascii="宋体" w:hAnsi="宋体"/>
          <w:b/>
          <w:sz w:val="24"/>
          <w:highlight w:val="none"/>
        </w:rPr>
      </w:pPr>
    </w:p>
    <w:p w14:paraId="79EFB2AC">
      <w:r>
        <w:rPr>
          <w:rFonts w:hint="eastAsia" w:ascii="宋体" w:hAnsi="宋体"/>
          <w:b/>
          <w:sz w:val="24"/>
          <w:highlight w:val="none"/>
        </w:rPr>
        <w:t>注：以上“技术要求”为实质性要求，必须完全满足，否则响应无效。</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76DE5"/>
    <w:rsid w:val="6257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center"/>
      <w:textAlignment w:val="baseline"/>
    </w:pPr>
    <w:rPr>
      <w:kern w:val="0"/>
      <w:sz w:val="24"/>
      <w:szCs w:val="24"/>
    </w:rPr>
  </w:style>
  <w:style w:type="paragraph" w:styleId="4">
    <w:name w:val="Normal Indent"/>
    <w:basedOn w:val="1"/>
    <w:qFormat/>
    <w:uiPriority w:val="0"/>
    <w:pPr>
      <w:widowControl/>
      <w:ind w:firstLine="420"/>
      <w:jc w:val="left"/>
    </w:pPr>
    <w:rPr>
      <w:kern w:val="0"/>
      <w:sz w:val="20"/>
      <w:szCs w:val="20"/>
    </w:rPr>
  </w:style>
  <w:style w:type="paragraph" w:styleId="5">
    <w:name w:val="annotation text"/>
    <w:basedOn w:val="1"/>
    <w:qFormat/>
    <w:uiPriority w:val="0"/>
    <w:pPr>
      <w:jc w:val="left"/>
    </w:pPr>
    <w:rPr>
      <w:kern w:val="0"/>
      <w:sz w:val="24"/>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2026-03-20T08:43:00Z</dcterms:created>
  <dc:creator>包泽宁</dc:creator>
  <cp:lastModifiedBy>包泽宁</cp:lastModifiedBy>
  <dcterms:modified xsi:type="dcterms:W3CDTF">2026-03-20T08:43:35Z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13430599E5224C9DA8D1DABF5721AC2E_11</vt:lpwstr>
  </property>
  <property fmtid="{D5CDD505-2E9C-101B-9397-08002B2CF9AE}" pid="4" name="KSOTemplateDocerSaveRecord">
    <vt:lpwstr>eyJoZGlkIjoiYzZlNTk0ZGE0NTJlNTIyMjhmNWIzMDM4NWQ1MmNkNjgiLCJ1c2VySWQiOiIyODQ3NjAxNjYifQ==</vt:lpwstr>
  </property>
</Properties>
</file>