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DE298">
      <w:pPr>
        <w:pStyle w:val="2"/>
        <w:spacing w:before="0" w:after="0" w:line="460" w:lineRule="exact"/>
        <w:jc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采购需求</w:t>
      </w:r>
    </w:p>
    <w:p w14:paraId="301BC775">
      <w:bookmarkStart w:id="0" w:name="_Toc26448"/>
    </w:p>
    <w:p w14:paraId="58A43635">
      <w:pPr>
        <w:pStyle w:val="3"/>
        <w:spacing w:before="0" w:after="0"/>
        <w:rPr>
          <w:rFonts w:hint="eastAsia" w:ascii="宋体" w:hAnsi="宋体"/>
          <w:color w:val="000000"/>
          <w:sz w:val="28"/>
          <w:szCs w:val="28"/>
        </w:rPr>
      </w:pPr>
      <w:bookmarkStart w:id="1" w:name="_Toc6437"/>
      <w:bookmarkStart w:id="2" w:name="_Toc8467"/>
      <w:bookmarkStart w:id="3" w:name="_Toc32165"/>
      <w:r>
        <w:rPr>
          <w:rFonts w:hint="eastAsia" w:ascii="宋体" w:hAnsi="宋体"/>
          <w:color w:val="000000"/>
          <w:sz w:val="28"/>
          <w:szCs w:val="28"/>
        </w:rPr>
        <w:t>一、</w:t>
      </w:r>
      <w:bookmarkEnd w:id="1"/>
      <w:r>
        <w:rPr>
          <w:rFonts w:hint="eastAsia" w:ascii="宋体" w:hAnsi="宋体"/>
          <w:color w:val="000000"/>
          <w:sz w:val="28"/>
          <w:szCs w:val="28"/>
        </w:rPr>
        <w:t>采购清单</w:t>
      </w:r>
      <w:bookmarkEnd w:id="2"/>
      <w:bookmarkEnd w:id="3"/>
    </w:p>
    <w:tbl>
      <w:tblPr>
        <w:tblStyle w:val="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4049"/>
        <w:gridCol w:w="993"/>
        <w:gridCol w:w="993"/>
        <w:gridCol w:w="1809"/>
      </w:tblGrid>
      <w:tr w14:paraId="1415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94" w:type="pct"/>
            <w:noWrap w:val="0"/>
            <w:vAlign w:val="center"/>
          </w:tcPr>
          <w:p w14:paraId="180DCA1E">
            <w:pPr>
              <w:spacing w:line="4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377" w:type="pct"/>
            <w:noWrap w:val="0"/>
            <w:vAlign w:val="center"/>
          </w:tcPr>
          <w:p w14:paraId="0B05DC5A">
            <w:pPr>
              <w:spacing w:line="46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bookmarkStart w:id="4" w:name="_Toc4137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采购标的名称</w:t>
            </w:r>
            <w:bookmarkEnd w:id="4"/>
          </w:p>
        </w:tc>
        <w:tc>
          <w:tcPr>
            <w:tcW w:w="583" w:type="pct"/>
            <w:noWrap w:val="0"/>
            <w:vAlign w:val="center"/>
          </w:tcPr>
          <w:p w14:paraId="2C9E28B9">
            <w:pPr>
              <w:spacing w:line="4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583" w:type="pct"/>
            <w:noWrap w:val="0"/>
            <w:vAlign w:val="center"/>
          </w:tcPr>
          <w:p w14:paraId="1E11A1AB">
            <w:pPr>
              <w:spacing w:line="4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061" w:type="pct"/>
            <w:noWrap w:val="0"/>
            <w:vAlign w:val="center"/>
          </w:tcPr>
          <w:p w14:paraId="6813F5B8">
            <w:pPr>
              <w:spacing w:line="4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1D59B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" w:type="pct"/>
            <w:noWrap w:val="0"/>
            <w:vAlign w:val="center"/>
          </w:tcPr>
          <w:p w14:paraId="0C69A6C7">
            <w:pPr>
              <w:spacing w:line="4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377" w:type="pct"/>
            <w:noWrap w:val="0"/>
            <w:vAlign w:val="center"/>
          </w:tcPr>
          <w:p w14:paraId="42EBCE2B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江铃汽车集团财务有限公司智控数据流程自动化平台（RPA）2026年项目</w:t>
            </w:r>
          </w:p>
        </w:tc>
        <w:tc>
          <w:tcPr>
            <w:tcW w:w="583" w:type="pct"/>
            <w:noWrap w:val="0"/>
            <w:vAlign w:val="center"/>
          </w:tcPr>
          <w:p w14:paraId="681B9D07">
            <w:pPr>
              <w:widowControl/>
              <w:spacing w:line="4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83" w:type="pct"/>
            <w:noWrap w:val="0"/>
            <w:vAlign w:val="center"/>
          </w:tcPr>
          <w:p w14:paraId="74CD9BB5">
            <w:pPr>
              <w:widowControl/>
              <w:spacing w:line="4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061" w:type="pct"/>
            <w:noWrap w:val="0"/>
            <w:vAlign w:val="center"/>
          </w:tcPr>
          <w:p w14:paraId="21DDF106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111CC8C1">
      <w:pPr>
        <w:rPr>
          <w:rFonts w:hint="eastAsia"/>
        </w:rPr>
      </w:pPr>
    </w:p>
    <w:p w14:paraId="65B751D9">
      <w:pPr>
        <w:pStyle w:val="3"/>
        <w:spacing w:before="0" w:after="0"/>
        <w:rPr>
          <w:rFonts w:hint="eastAsia" w:ascii="宋体" w:hAnsi="宋体"/>
          <w:color w:val="000000"/>
          <w:sz w:val="28"/>
          <w:szCs w:val="28"/>
        </w:rPr>
      </w:pPr>
      <w:bookmarkStart w:id="5" w:name="_Toc2378"/>
      <w:r>
        <w:rPr>
          <w:rFonts w:hint="eastAsia" w:ascii="宋体" w:hAnsi="宋体"/>
          <w:color w:val="000000"/>
          <w:sz w:val="28"/>
          <w:szCs w:val="28"/>
        </w:rPr>
        <w:t>二、技术要求</w:t>
      </w:r>
      <w:bookmarkEnd w:id="0"/>
      <w:bookmarkEnd w:id="5"/>
    </w:p>
    <w:p w14:paraId="219303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2" w:firstLineChars="200"/>
        <w:jc w:val="left"/>
        <w:textAlignment w:val="auto"/>
        <w:outlineLvl w:val="9"/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一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）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需求背景</w:t>
      </w:r>
    </w:p>
    <w:p w14:paraId="6EE85E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75" w:firstLineChars="198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随着我公司业务领域的规模扩张，各部门日常操作中重复性、机械性工作占比高、人工误差风险大、跨系统协同效率低等问题日益凸显，对通过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highlight w:val="none"/>
          <w:lang w:val="en-US" w:eastAsia="zh-CN"/>
        </w:rPr>
        <w:t>智控数据流程自动化平台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RPA）技术优化业务流程、降低运营成本的需求愈发迫切。为进一步打通跨系统协同壁垒，精准破解人工运营痛点，提升业务条线作业效能与合规管控水平，更好地适配公司规模化发展战略，结合各部门实际作业场景，通过RPA技术落地流程自动化改造，以推动公司整体运营管理高质量发展。</w:t>
      </w:r>
    </w:p>
    <w:p w14:paraId="43DDE2F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2" w:firstLineChars="200"/>
        <w:jc w:val="left"/>
        <w:textAlignment w:val="auto"/>
        <w:outlineLvl w:val="9"/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二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）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需求类型</w:t>
      </w:r>
    </w:p>
    <w:p w14:paraId="498FFF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596" w:leftChars="284"/>
        <w:jc w:val="left"/>
        <w:textAlignment w:val="auto"/>
        <w:outlineLvl w:val="9"/>
        <w:rPr>
          <w:rStyle w:val="6"/>
          <w:rFonts w:hint="eastAsia" w:ascii="宋体" w:hAnsi="宋体" w:eastAsia="宋体" w:cs="宋体"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业务支撑类</w:t>
      </w:r>
    </w:p>
    <w:p w14:paraId="12226FB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2" w:firstLineChars="200"/>
        <w:jc w:val="left"/>
        <w:textAlignment w:val="auto"/>
        <w:outlineLvl w:val="9"/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三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）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需求内容</w:t>
      </w:r>
    </w:p>
    <w:p w14:paraId="56176964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中登网动产抵押自动录入</w:t>
      </w:r>
    </w:p>
    <w:p w14:paraId="158A2572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实现从抵押明细文件（PDF/Excel格式）中自动抓取关键信息，并在中登网完成动产抵押登记的新增创建与存量更新操作，实现登记结果的自动回填与证明文件下载。</w:t>
      </w:r>
    </w:p>
    <w:p w14:paraId="2C08332E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2.国家信用公示系统经销商信息查询与下载</w:t>
      </w:r>
    </w:p>
    <w:p w14:paraId="658924BC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实现根据Excel文件中的经销商名称列表，在国家企业信用信息公示系统中进行批量自动化查询，下载企业信息报告，并对已下载的报告进行二次解析，提取关键变更信息并结构化输出。</w:t>
      </w:r>
    </w:p>
    <w:p w14:paraId="298E0A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0" w:firstLineChars="200"/>
        <w:jc w:val="left"/>
        <w:textAlignment w:val="auto"/>
        <w:outlineLvl w:val="9"/>
        <w:rPr>
          <w:rStyle w:val="6"/>
          <w:rFonts w:hint="eastAsia" w:ascii="宋体" w:hAnsi="宋体" w:eastAsia="宋体" w:cs="宋体"/>
          <w:i w:val="0"/>
          <w:iCs w:val="0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6"/>
          <w:rFonts w:hint="eastAsia" w:ascii="宋体" w:hAnsi="宋体" w:eastAsia="宋体" w:cs="宋体"/>
          <w:i w:val="0"/>
          <w:iCs w:val="0"/>
          <w:color w:val="auto"/>
          <w:sz w:val="24"/>
          <w:szCs w:val="24"/>
        </w:rPr>
        <w:t>四</w:t>
      </w:r>
      <w:r>
        <w:rPr>
          <w:rStyle w:val="6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  <w:t>）</w:t>
      </w:r>
      <w:r>
        <w:rPr>
          <w:rStyle w:val="6"/>
          <w:rFonts w:hint="eastAsia" w:ascii="宋体" w:hAnsi="宋体" w:eastAsia="宋体" w:cs="宋体"/>
          <w:i w:val="0"/>
          <w:iCs w:val="0"/>
          <w:color w:val="auto"/>
          <w:sz w:val="24"/>
          <w:szCs w:val="24"/>
        </w:rPr>
        <w:t>预计成效</w:t>
      </w:r>
    </w:p>
    <w:p w14:paraId="10655306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通过RPA技术替代人工完成上述2项固定业务流程，可在效率、成本、质量三大维度实现突破，提升整体运营效能：</w:t>
      </w:r>
    </w:p>
    <w:p w14:paraId="62F04F31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效率提升：缩短无效工时，释放核心人力</w:t>
      </w:r>
    </w:p>
    <w:p w14:paraId="5CD2610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RPA技术可针对各部门重复操作多、跨系统协同繁琐的痛点，减少人工在系统切换、数据录入、文件整理等环节的耗时，将人力资源从机械性重复工作中解放出来，投入到高价值的核心业务中，具体包括：</w:t>
      </w:r>
    </w:p>
    <w:p w14:paraId="3A99E67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1.系统查询与数据处理效率：无需人工频繁登录多系统，RPA可自动完成系统登录、数据抓取与跨平台同步，减少人工在多系统间切换、手动复制粘贴数据的时间。</w:t>
      </w:r>
    </w:p>
    <w:p w14:paraId="25DC818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2.业务执行效率：针对周期性固定工作，RPA可定时触发操作，无需人工记忆执行时间、反复操作，减少业务等待时长。</w:t>
      </w:r>
    </w:p>
    <w:p w14:paraId="0CF77F6C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3.问题响应效率：人工处理业务时，若遇数据偏差需重新核对，需消耗额外时间；RPA可在操作过程中植入校验规则，实时核对数据准确性，减少返工耗时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ab/>
      </w:r>
    </w:p>
    <w:p w14:paraId="565E84E4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成本降低：减少人力与资源投入，控制运营成本</w:t>
      </w:r>
    </w:p>
    <w:p w14:paraId="6152FEF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通过RPA自动化替代人工重复操作，可减少企业在人力配置、培训、返工等方面的成本投入，优化资源利用效率，具体包括：</w:t>
      </w:r>
    </w:p>
    <w:p w14:paraId="7AD812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1.人工成本：无需为处理重复性工作新增人力，也无需现有员工额外加班处理高频业务，释放的人力可转向高价值工作。</w:t>
      </w:r>
    </w:p>
    <w:p w14:paraId="5F2994E2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2.培训成本：新员工无需花费大量时间学习2项固定流程的操作细节，仅需了解RPA操作逻辑与异常处理方式即可，缩短集中培训时长；且RPA操作标准化，无需人工反复指导纠正，减少培训资源的消耗。</w:t>
      </w:r>
    </w:p>
    <w:p w14:paraId="11F767AC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质量保障：规避人工误差，提升业务准确性与一致性</w:t>
      </w:r>
    </w:p>
    <w:p w14:paraId="38FF9B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RPA 机器人严格按照预设规则执行操作，可有效解决人工录入错误、流程环节遗漏、执行标准不统一等问题：</w:t>
      </w:r>
    </w:p>
    <w:p w14:paraId="2E02258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数据准确性显著提升：动产抵押登记中抵押财产价值录入错误、文件上传遗漏等风险，以及经销商资质查询中企业名称输入错误等问题，均可通过 RPA 自动读取 Excel 数据及流程节点校验机制有效避免。</w:t>
      </w:r>
    </w:p>
    <w:p w14:paraId="3E890DC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2" w:firstLineChars="200"/>
        <w:jc w:val="left"/>
        <w:textAlignment w:val="auto"/>
        <w:outlineLvl w:val="9"/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五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）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软件架构及非功能性需求</w:t>
      </w:r>
    </w:p>
    <w:p w14:paraId="3373430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6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val="en-US" w:eastAsia="zh-CN"/>
        </w:rPr>
        <w:t>1</w:t>
      </w:r>
      <w:r>
        <w:rPr>
          <w:rStyle w:val="6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  <w:t>）软件架构设计</w:t>
      </w:r>
    </w:p>
    <w:p w14:paraId="23DAE64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平台采用管理端、设计控制端、代理端三层分布式架构，覆盖流程设计、开发调试、任务下发、机器人执行、集中监控、权限管理、审计追溯的全生命周期闭环管理，实现自动化全流程可控可管。</w:t>
      </w:r>
    </w:p>
    <w:p w14:paraId="62E4AD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1.设计控制端（流程开发核心工具）</w:t>
      </w:r>
    </w:p>
    <w:p w14:paraId="48DBE90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作为流程开发与调试的核心载体，核心能力如下：</w:t>
      </w:r>
    </w:p>
    <w:p w14:paraId="0D9C5F19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支持图形化拖拽编程+代码编程双模式，兼顾低门槛易用性与个性化深度定制需求；</w:t>
      </w:r>
    </w:p>
    <w:p w14:paraId="386E9EE1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具备操作录制、脚本自动生成与回放能力，内置全功能调试模块（整体、单步、断点调试、变量实时查看），可快速定位解决问题；</w:t>
      </w:r>
    </w:p>
    <w:p w14:paraId="0FFB1C2E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支持代码片段/组件/脚本复用、子流程调用，满足复杂业务分层开发需求；</w:t>
      </w:r>
    </w:p>
    <w:p w14:paraId="0B15D1D6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内置登录认证机制，覆盖代码编写、调试、流程启停、状态监控、异常干预全流程，支持远程开发与管控；</w:t>
      </w:r>
    </w:p>
    <w:p w14:paraId="45AE494B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自带流程脚本版本管理功能，支持版本归档、回溯及源程序差异比对；</w:t>
      </w:r>
    </w:p>
    <w:p w14:paraId="462B9C85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支持对接财司短信发送接口，实现关键事件短信通知。</w:t>
      </w:r>
    </w:p>
    <w:p w14:paraId="5B054E0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2.代理端（流程执行核心载体）</w:t>
      </w:r>
    </w:p>
    <w:p w14:paraId="3A0210C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部署于业务终端，负责流程任务的落地执行，核心能力如下：</w:t>
      </w:r>
    </w:p>
    <w:p w14:paraId="75123279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承接管理端下发的操作任务，支持定时触发、人工触发、接口交互触发三种执行模式；</w:t>
      </w:r>
    </w:p>
    <w:p w14:paraId="3DAD67B3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执行过程自动生成全量运行日志，详细记录执行进度、状态及异常信息；</w:t>
      </w:r>
    </w:p>
    <w:p w14:paraId="1BAC4CC4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支持本地查看任务列表、执行状态与可运行流程清单；具备锁屏状态下正常执行、按策略自动解锁屏幕的能力，保障任务连续运行；</w:t>
      </w:r>
    </w:p>
    <w:p w14:paraId="4B741C26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兼容Windows、Linux及国产主流操作系统，可实时向管理端上报执行状态、日志、异常信息及执行录屏，实现执行过程全链路可监控、可追溯。</w:t>
      </w:r>
    </w:p>
    <w:p w14:paraId="5F27C24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3.管理端（平台核心管控中枢）</w:t>
      </w:r>
    </w:p>
    <w:p w14:paraId="7A7481C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作为全平台的集中管控、智能调度与审计核心，核心能力如下：</w:t>
      </w:r>
    </w:p>
    <w:p w14:paraId="56BAE932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统一管理全平台流程脚本、用户账号及权限体系，实现权限精细化分配与管控；</w:t>
      </w:r>
    </w:p>
    <w:p w14:paraId="3C020092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支持任务下发、排队调度与负载均衡，可自动分配空闲代理端执行任务；</w:t>
      </w:r>
    </w:p>
    <w:p w14:paraId="2767517E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支持全周期定时任务配置（按年/月/周/日设置执行周期），同时可随时创建临时任务，适配全场景执行需求；</w:t>
      </w:r>
    </w:p>
    <w:p w14:paraId="7623F486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具备全维度实时监控能力，可直观展示流程执行状态、执行时长，支持任务取消、删除操作；可实时查看所有代理端运行状态，实现全局管控；</w:t>
      </w:r>
    </w:p>
    <w:p w14:paraId="231ADBCC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支持查看代理端运行日志、回放执行录屏，可远程查看代理端桌面运行画面，实现异常快速干预；</w:t>
      </w:r>
    </w:p>
    <w:p w14:paraId="736A8245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全量留存用户操作日志，支持按操作行为查询与追溯；</w:t>
      </w:r>
    </w:p>
    <w:p w14:paraId="0CB0EFAB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84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流程执行异常或失败时，可自动触发多渠道告警（站内信、短信、邮件），全量留存系统日志、操作截屏、执行录像，满足审计合规要求。</w:t>
      </w:r>
    </w:p>
    <w:p w14:paraId="0B6E38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非功能性需求</w:t>
      </w:r>
    </w:p>
    <w:p w14:paraId="5064B7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性能要求</w:t>
      </w:r>
    </w:p>
    <w:p w14:paraId="3A2B77AD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代理端：最低可在2核CPU、4G内存虚拟机运行，兼容Windows、Linux主流操作系统；</w:t>
      </w:r>
    </w:p>
    <w:p w14:paraId="48631706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设计控制端：最低可在2核CPU、4G内存虚拟机运行，兼容Windows系列操作系统。</w:t>
      </w:r>
    </w:p>
    <w:p w14:paraId="75E132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稳定性与兼容性</w:t>
      </w:r>
    </w:p>
    <w:p w14:paraId="79EFAE31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平台支持7×24小时连续稳定运行，管理端采用双活部署，保障任一节点故障时业务不中断；</w:t>
      </w:r>
    </w:p>
    <w:p w14:paraId="43934C98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全面兼容国产化软硬件环境，满足信创建设及后续升级发展需求。</w:t>
      </w:r>
    </w:p>
    <w:p w14:paraId="6E38440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安全要求</w:t>
      </w:r>
    </w:p>
    <w:p w14:paraId="5618DA2C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数据传输与存储采用国产密码算法加密；流程执行全程可控，任意节点可暂停，管理端可直接查看并处理故障节点详情，无需登录代理端；</w:t>
      </w:r>
    </w:p>
    <w:p w14:paraId="04FD482E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代理端可实时监测终端网络健康状态，异常时及时告警；</w:t>
      </w:r>
    </w:p>
    <w:p w14:paraId="2FCE1D22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支持锁屏运行模式，可配置流程执行时间段、执行次数及节假日规则；</w:t>
      </w:r>
    </w:p>
    <w:p w14:paraId="0DCB558C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支持通过IP网段白名单限制接入设备，筑牢平台接入安全防线。</w:t>
      </w:r>
    </w:p>
    <w:p w14:paraId="5CA59C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扩展性与易用性要求</w:t>
      </w:r>
    </w:p>
    <w:p w14:paraId="2910ECD7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扩展性：提供标准接口函数，支持与其他业务系统后台对接、集成调用，满足后续业务扩展与系统互联需求；</w:t>
      </w:r>
    </w:p>
    <w:p w14:paraId="14DE27F7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易用性：采用全中文图形化操作界面，支持脚本拖拽、操作录像快速生成，易学易用易维护；配套全中文帮助文档、培训资料；维保期内提供持续版本升级服务，支持多模式个性化任务调度。</w:t>
      </w:r>
    </w:p>
    <w:p w14:paraId="7996BD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可维护性要求</w:t>
      </w:r>
    </w:p>
    <w:p w14:paraId="11581FE1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平台运行状态可实时监控、管理，运维及管理人员可实时查看运行情况、配置系统参数；可快速调整维护自动化流程，保障业务不间断运行。</w:t>
      </w:r>
    </w:p>
    <w:p w14:paraId="0FB9646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2" w:firstLineChars="200"/>
        <w:jc w:val="left"/>
        <w:textAlignment w:val="auto"/>
        <w:outlineLvl w:val="9"/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val="en-US" w:eastAsia="zh-CN"/>
        </w:rPr>
        <w:t>（六）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数据安全需求</w:t>
      </w:r>
    </w:p>
    <w:p w14:paraId="7AF2A5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1.拟处理的数据及其安全级别</w:t>
      </w:r>
    </w:p>
    <w:p w14:paraId="765AC65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依据《数据分类分级制度》，识别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highlight w:val="none"/>
          <w:lang w:val="en-US" w:eastAsia="zh-CN"/>
        </w:rPr>
        <w:t>智控数据流程自动化平台（RPA）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全流程涉及的数据。</w:t>
      </w:r>
    </w:p>
    <w:tbl>
      <w:tblPr>
        <w:tblStyle w:val="4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072"/>
        <w:gridCol w:w="2325"/>
        <w:gridCol w:w="891"/>
        <w:gridCol w:w="1991"/>
        <w:gridCol w:w="1140"/>
      </w:tblGrid>
      <w:tr w14:paraId="656E9724">
        <w:trPr>
          <w:trHeight w:val="1358" w:hRule="atLeast"/>
          <w:tblHeader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7C577A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业务子类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3684A2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数据资源名称</w:t>
            </w:r>
          </w:p>
        </w:tc>
        <w:tc>
          <w:tcPr>
            <w:tcW w:w="1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7B4F13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内容</w:t>
            </w:r>
          </w:p>
          <w:p w14:paraId="339FF20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(字段描述)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6F1B77F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涉及敏感信息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3C5570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数据分类分级标准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7B4952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数据级别</w:t>
            </w:r>
          </w:p>
        </w:tc>
      </w:tr>
      <w:tr w14:paraId="7C975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4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E3F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单位基本信息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B9C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单位基本概况</w:t>
            </w:r>
          </w:p>
        </w:tc>
        <w:tc>
          <w:tcPr>
            <w:tcW w:w="1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AE44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指企业名称、统一社会信用代码、法定代表人、行业分类、经济类型、企业规模、注册资本、 企业地址、经营范围、营业期限、核准日期等。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710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5BF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客户-单位-单位基本信息-单位基本概况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047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 w14:paraId="1C3DA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4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F9F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676F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股东信息</w:t>
            </w:r>
          </w:p>
        </w:tc>
        <w:tc>
          <w:tcPr>
            <w:tcW w:w="1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685C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指股东类型、股东名称、累计认缴额、实缴额等。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66FA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5D90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客户-单位-单位基本信息-股东信息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E9F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</w:tr>
      <w:tr w14:paraId="06F3E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6A1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单位资讯信息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D4D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企业工商信息</w:t>
            </w:r>
          </w:p>
        </w:tc>
        <w:tc>
          <w:tcPr>
            <w:tcW w:w="1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627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指企业对外投资、分支机构、变更登记信息等。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4D4F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157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客户-单位-单位资讯信息-企业工商信息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7F2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 w14:paraId="1CDC0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03FC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合同信息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039E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最高额抵押车辆明细合同信息</w:t>
            </w:r>
          </w:p>
        </w:tc>
        <w:tc>
          <w:tcPr>
            <w:tcW w:w="1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A3D4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抵押人名称、抵押权人名称、抵押物名称、底盘号、价值等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B415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583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业务-合约协议-贷款业务信息-抵质押物信息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C89E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</w:tr>
    </w:tbl>
    <w:p w14:paraId="40478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2.访问规则</w:t>
      </w:r>
    </w:p>
    <w:p w14:paraId="230E2B8F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集中的用户管理和基于用户名、口令的身份认证。支持HTTPS协议进行身份认证。登录失败后立即结束用户会话。</w:t>
      </w:r>
    </w:p>
    <w:p w14:paraId="4F7B9F99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按照最小化原则设置用户和分配权限，按照安全且必要的原则设置合理的用户数量。</w:t>
      </w:r>
    </w:p>
    <w:p w14:paraId="78FB1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3.保护需求</w:t>
      </w:r>
    </w:p>
    <w:p w14:paraId="29F357C7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服务器与前端控制台、服务器与代理端之间、服务器与备份服务器、服务器与中转服务器之间采用Socket通信协议，对通信数据内容进行加密，可以保证通信双方的有效性确认，后台主机运行时数据在内存中处理，并配置防护进程，可有效防止恶意破坏，保障数据完整性。</w:t>
      </w:r>
    </w:p>
    <w:p w14:paraId="05BC9FA3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平台具备完整的应用程序日志功能，发生故障时会自动记录故障时间、涉及模块、代码行号及详细故障原因。</w:t>
      </w:r>
    </w:p>
    <w:p w14:paraId="0FFD1037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制定完善的数据备份和恢复策略，定期进行全量或增量备份。</w:t>
      </w:r>
    </w:p>
    <w:p w14:paraId="0AD456E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所有数据操作均留存详细操作日志，日志内容包括操作时间、操作人员、操作类型、涉及数据内容等，日志保存期限不少于6个月。</w:t>
      </w:r>
    </w:p>
    <w:p w14:paraId="3A1A579D">
      <w:r>
        <w:rPr>
          <w:rFonts w:hint="eastAsia" w:ascii="宋体" w:hAnsi="宋体"/>
          <w:b/>
          <w:sz w:val="24"/>
        </w:rPr>
        <w:t>注：以上“技术要求”为实质性要求，必须完全满足，否则响应无效。</w:t>
      </w:r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5A72B"/>
    <w:multiLevelType w:val="multilevel"/>
    <w:tmpl w:val="08B5A72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1AED720C"/>
    <w:multiLevelType w:val="singleLevel"/>
    <w:tmpl w:val="1AED720C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26215"/>
    <w:rsid w:val="0FD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500" w:lineRule="exact"/>
      <w:jc w:val="center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不明显强调1"/>
    <w:basedOn w:val="5"/>
    <w:qFormat/>
    <w:uiPriority w:val="19"/>
    <w:rPr>
      <w:i/>
      <w:iCs/>
      <w:color w:val="3F3F3F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2026-08-18T08:45:00Z</dcterms:created>
  <dc:creator>admin</dc:creator>
  <cp:lastModifiedBy>admin</cp:lastModifiedBy>
  <dcterms:modified xsi:type="dcterms:W3CDTF">2026-08-18T08:45:35Z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420E3AA7D27F4836B0BEF4A927D37073_11</vt:lpwstr>
  </property>
  <property fmtid="{D5CDD505-2E9C-101B-9397-08002B2CF9AE}" pid="4" name="KSOTemplateDocerSaveRecord">
    <vt:lpwstr>eyJoZGlkIjoiYzA3ZGNiZWNmNzhmMDhkNjQ2MTRmOTUyZWY2Yjc5ZGMiLCJ1c2VySWQiOiIyODQ3NjAxNjYifQ==</vt:lpwstr>
  </property>
</Properties>
</file>