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6486F">
      <w:pPr>
        <w:pStyle w:val="3"/>
        <w:numPr>
          <w:ilvl w:val="0"/>
          <w:numId w:val="0"/>
        </w:numPr>
        <w:topLinePunct/>
        <w:spacing w:before="0" w:after="0" w:line="460" w:lineRule="exact"/>
        <w:jc w:val="center"/>
        <w:rPr>
          <w:rFonts w:hint="eastAsia" w:ascii="宋体" w:hAnsi="宋体" w:eastAsia="宋体"/>
          <w:sz w:val="24"/>
          <w:szCs w:val="24"/>
        </w:rPr>
      </w:pPr>
      <w:r>
        <w:rPr>
          <w:rFonts w:hint="eastAsia" w:ascii="宋体" w:hAnsi="宋体" w:eastAsia="宋体"/>
          <w:bCs/>
          <w:color w:val="000000"/>
          <w:sz w:val="24"/>
          <w:szCs w:val="24"/>
        </w:rPr>
        <w:t>技术要求</w:t>
      </w:r>
    </w:p>
    <w:p w14:paraId="7BF39C64">
      <w:pPr>
        <w:ind w:firstLine="488" w:firstLineChars="200"/>
        <w:rPr>
          <w:rFonts w:hint="eastAsia" w:ascii="宋体" w:hAnsi="宋体" w:cs="宋体"/>
          <w:bCs/>
          <w:spacing w:val="2"/>
          <w:kern w:val="0"/>
        </w:rPr>
      </w:pPr>
      <w:r>
        <w:rPr>
          <w:rFonts w:hint="eastAsia" w:ascii="宋体" w:hAnsi="宋体" w:cs="宋体"/>
          <w:bCs/>
          <w:spacing w:val="2"/>
          <w:kern w:val="0"/>
        </w:rPr>
        <w:t>1、重量要求：每盒月饼包含数量以礼盒配置为准，单块月饼的重量不低于采购清单要求。</w:t>
      </w:r>
    </w:p>
    <w:p w14:paraId="1F6CEFE9">
      <w:pPr>
        <w:ind w:firstLine="488" w:firstLineChars="200"/>
        <w:rPr>
          <w:rFonts w:ascii="宋体" w:hAnsi="宋体" w:cs="宋体"/>
        </w:rPr>
      </w:pPr>
      <w:r>
        <w:rPr>
          <w:rFonts w:hint="eastAsia" w:ascii="宋体" w:hAnsi="宋体" w:cs="宋体"/>
          <w:bCs/>
          <w:spacing w:val="2"/>
          <w:kern w:val="0"/>
        </w:rPr>
        <w:t>2、月饼口味供应要求：</w:t>
      </w:r>
      <w:r>
        <w:rPr>
          <w:rFonts w:ascii="宋体" w:hAnsi="宋体" w:cs="宋体"/>
        </w:rPr>
        <w:t>包含但不限于本次比选列明品类，</w:t>
      </w:r>
      <w:r>
        <w:rPr>
          <w:rFonts w:hint="eastAsia" w:ascii="宋体" w:hAnsi="宋体" w:cs="宋体"/>
        </w:rPr>
        <w:t>参选人</w:t>
      </w:r>
      <w:r>
        <w:rPr>
          <w:rFonts w:ascii="宋体" w:hAnsi="宋体" w:cs="宋体"/>
        </w:rPr>
        <w:t>可自主补充其他风味口味供选择，更换口味前</w:t>
      </w:r>
      <w:r>
        <w:rPr>
          <w:rFonts w:hint="eastAsia" w:ascii="宋体" w:hAnsi="宋体" w:cs="宋体"/>
        </w:rPr>
        <w:t>须</w:t>
      </w:r>
      <w:r>
        <w:rPr>
          <w:rFonts w:ascii="宋体" w:hAnsi="宋体" w:cs="宋体"/>
        </w:rPr>
        <w:t>经比选人书面确认。</w:t>
      </w:r>
    </w:p>
    <w:p w14:paraId="5BF02572">
      <w:pPr>
        <w:ind w:firstLine="488" w:firstLineChars="200"/>
        <w:rPr>
          <w:rFonts w:hint="eastAsia" w:ascii="宋体" w:hAnsi="宋体" w:cs="宋体"/>
          <w:bCs/>
          <w:spacing w:val="2"/>
          <w:kern w:val="0"/>
        </w:rPr>
      </w:pPr>
      <w:r>
        <w:rPr>
          <w:rFonts w:hint="eastAsia" w:ascii="宋体" w:hAnsi="宋体" w:cs="宋体"/>
          <w:bCs/>
          <w:spacing w:val="2"/>
          <w:kern w:val="0"/>
        </w:rPr>
        <w:t>3、食用安全要求：符合国家食品安全相关要求，参选人送货前需提供该产品同批次的食品安全检测报告，并于送货当日随机抽取10份样品称重。</w:t>
      </w:r>
    </w:p>
    <w:p w14:paraId="3824DE06">
      <w:pPr>
        <w:ind w:firstLine="488" w:firstLineChars="200"/>
        <w:rPr>
          <w:rFonts w:hint="eastAsia" w:ascii="宋体" w:hAnsi="宋体" w:cs="宋体"/>
          <w:bCs/>
          <w:spacing w:val="2"/>
          <w:kern w:val="0"/>
        </w:rPr>
      </w:pPr>
      <w:r>
        <w:rPr>
          <w:rFonts w:hint="eastAsia" w:ascii="宋体" w:hAnsi="宋体" w:cs="宋体"/>
          <w:bCs/>
          <w:spacing w:val="2"/>
          <w:kern w:val="0"/>
        </w:rPr>
        <w:t>4、</w:t>
      </w:r>
      <w:r>
        <w:rPr>
          <w:rFonts w:hint="eastAsia" w:ascii="宋体" w:hAnsi="宋体" w:cs="宋体"/>
        </w:rPr>
        <w:t>月饼生产所用的所有饼皮原料、馅料主料及各类辅料，均须严格符合 GB/T 19855-2023《月饼质量通则》中关于原辅料及馅料添加量的相关要求。同时，全部产品必须满足</w:t>
      </w:r>
      <w:r>
        <w:rPr>
          <w:rFonts w:ascii="宋体" w:hAnsi="宋体" w:cs="宋体"/>
        </w:rPr>
        <w:t>GB 7099-2015</w:t>
      </w:r>
      <w:r>
        <w:rPr>
          <w:rFonts w:hint="eastAsia" w:ascii="宋体" w:hAnsi="宋体" w:cs="宋体"/>
        </w:rPr>
        <w:t>《食品安全国家标准 糕点、面包》及其他现行国家食品安全强制性标准。</w:t>
      </w:r>
    </w:p>
    <w:p w14:paraId="216049C4">
      <w:pPr>
        <w:ind w:firstLine="488" w:firstLineChars="200"/>
        <w:rPr>
          <w:rFonts w:hint="eastAsia" w:ascii="宋体" w:hAnsi="宋体" w:cs="宋体"/>
          <w:bCs/>
          <w:spacing w:val="2"/>
          <w:kern w:val="0"/>
        </w:rPr>
      </w:pPr>
      <w:r>
        <w:rPr>
          <w:rFonts w:hint="eastAsia" w:ascii="宋体" w:hAnsi="宋体" w:cs="宋体"/>
          <w:bCs/>
          <w:spacing w:val="2"/>
          <w:kern w:val="0"/>
        </w:rPr>
        <w:t>5、配送要求：参选人负责将货物安全运送到南昌大学前湖校区北院修贤五栋0层后勤服务大厅内的指定位置，并安排人员卸货，不另收任何费用。</w:t>
      </w:r>
    </w:p>
    <w:p w14:paraId="0C39457D">
      <w:pPr>
        <w:ind w:firstLine="488" w:firstLineChars="200"/>
        <w:jc w:val="both"/>
        <w:rPr>
          <w:rFonts w:hint="eastAsia" w:ascii="宋体" w:hAnsi="宋体" w:cs="宋体"/>
          <w:spacing w:val="2"/>
          <w:kern w:val="0"/>
        </w:rPr>
      </w:pPr>
      <w:r>
        <w:rPr>
          <w:rFonts w:hint="eastAsia" w:ascii="宋体" w:hAnsi="宋体" w:cs="宋体"/>
          <w:spacing w:val="2"/>
          <w:kern w:val="0"/>
        </w:rPr>
        <w:t>6、手提袋、外包装盒上均需印有南昌大学元素的LOGO图案，详见附图一、附图二。</w:t>
      </w:r>
    </w:p>
    <w:p w14:paraId="34D9AC2B">
      <w:pPr>
        <w:ind w:firstLine="488" w:firstLineChars="200"/>
        <w:jc w:val="both"/>
        <w:rPr>
          <w:rFonts w:hint="eastAsia" w:ascii="宋体" w:hAnsi="宋体" w:cs="宋体"/>
          <w:spacing w:val="2"/>
          <w:kern w:val="0"/>
        </w:rPr>
      </w:pPr>
      <w:r>
        <w:rPr>
          <w:rFonts w:hint="eastAsia" w:ascii="宋体" w:hAnsi="宋体" w:cs="宋体"/>
          <w:spacing w:val="2"/>
          <w:kern w:val="0"/>
        </w:rPr>
        <w:t>7、</w:t>
      </w:r>
      <w:bookmarkStart w:id="0" w:name="OLE_LINK14"/>
      <w:r>
        <w:rPr>
          <w:rFonts w:hint="eastAsia" w:ascii="宋体" w:hAnsi="宋体" w:cs="宋体"/>
          <w:spacing w:val="2"/>
          <w:kern w:val="0"/>
        </w:rPr>
        <w:t>广式月饼和桃山皮月饼的整体外形及饼面LOGO压印图案，须严格依据比选人提供的设计图样（包含但不限于附图二、附图三和附图四）定制开模。该模具的所有权及知识产权均归比选人所有。合同履约完毕后，参选人须将模具完好归还比选人；未经比选人书面同意，参选人不得擅自使用、复制或向第三方泄露。若参选人违反上述约定，比选人有权扣除全部未结款项（含尾款），并依法追索由此造成的全部经济损失。</w:t>
      </w:r>
    </w:p>
    <w:bookmarkEnd w:id="0"/>
    <w:p w14:paraId="43917194">
      <w:pPr>
        <w:ind w:firstLine="488" w:firstLineChars="200"/>
        <w:jc w:val="both"/>
        <w:rPr>
          <w:rFonts w:ascii="宋体" w:hAnsi="宋体" w:cs="宋体"/>
          <w:spacing w:val="2"/>
          <w:kern w:val="0"/>
        </w:rPr>
      </w:pPr>
      <w:r>
        <w:rPr>
          <w:rFonts w:hint="eastAsia" w:ascii="宋体" w:hAnsi="宋体" w:cs="宋体"/>
          <w:spacing w:val="2"/>
          <w:kern w:val="0"/>
        </w:rPr>
        <w:t>8、模具压制的月饼成品须达到：LOGO与花纹完整成型、图案层次分明、线条清晰利落。凡出现图案模糊、浅印、重影、缺笔、断纹、残缺，或饼皮开裂、破皮、塌陷等任意一种不良现象的，均视为不合格品，比选人有权拒收。模具接触面必须采用304不锈钢或食品级硅胶等食品级材质，供货前参选人须提供相应的材质安全证明及符合国家食品安全标准的检测报告。</w:t>
      </w:r>
    </w:p>
    <w:p w14:paraId="34A8DE97">
      <w:pPr>
        <w:ind w:firstLine="488" w:firstLineChars="200"/>
        <w:jc w:val="both"/>
        <w:rPr>
          <w:rFonts w:hint="eastAsia" w:ascii="宋体" w:hAnsi="宋体" w:cs="宋体"/>
          <w:spacing w:val="2"/>
          <w:kern w:val="0"/>
        </w:rPr>
      </w:pPr>
      <w:r>
        <w:rPr>
          <w:rFonts w:hint="eastAsia" w:ascii="宋体" w:hAnsi="宋体" w:cs="宋体"/>
          <w:spacing w:val="2"/>
          <w:kern w:val="0"/>
        </w:rPr>
        <w:t>9、月饼须采用符合国家食品安全标准的食品级高透明塑封袋进行独立密封包装，确保包装平整、无破损，有效防潮防漏。塑封袋背面（或外包装显著位置）须以清晰、牢固、不易脱落的字体，规范标明生产日期、保质期及储存条件等法定信息，严禁漏标或错标。</w:t>
      </w:r>
    </w:p>
    <w:p w14:paraId="4B8D81EE">
      <w:pPr>
        <w:ind w:firstLine="488" w:firstLineChars="200"/>
        <w:jc w:val="both"/>
        <w:rPr>
          <w:rFonts w:hint="eastAsia" w:ascii="宋体" w:hAnsi="宋体" w:cs="宋体"/>
          <w:spacing w:val="2"/>
          <w:kern w:val="0"/>
        </w:rPr>
      </w:pPr>
      <w:r>
        <w:rPr>
          <w:rFonts w:hint="eastAsia" w:ascii="宋体" w:hAnsi="宋体" w:cs="宋体"/>
          <w:spacing w:val="2"/>
          <w:kern w:val="0"/>
        </w:rPr>
        <w:t>10、合同签订后，参选人向比选人提供全套产品宣传高清实拍图，包含白底主图、细节、场景、套装、工艺图等，参选人需先提交样图审核，比选人提出修图、重拍需求的，参选人按期整改至合格</w:t>
      </w:r>
      <w:r>
        <w:rPr>
          <w:rFonts w:hint="eastAsia"/>
        </w:rPr>
        <w:t>，该过程产生的费用全部由参选人承担。</w:t>
      </w:r>
      <w:r>
        <w:rPr>
          <w:rFonts w:hint="eastAsia" w:ascii="宋体" w:hAnsi="宋体" w:cs="宋体"/>
          <w:spacing w:val="2"/>
          <w:kern w:val="0"/>
        </w:rPr>
        <w:t>若参选人逾期交付或素材不合格，造成比选人宣传延误、外包拍摄等全部损失，由参选人全额赔偿，比选人可直接从货款中抵扣。</w:t>
      </w:r>
    </w:p>
    <w:p w14:paraId="063872B0">
      <w:pPr>
        <w:tabs>
          <w:tab w:val="left" w:pos="0"/>
          <w:tab w:val="left" w:pos="284"/>
          <w:tab w:val="left" w:pos="567"/>
          <w:tab w:val="left" w:pos="709"/>
          <w:tab w:val="left" w:pos="935"/>
        </w:tabs>
        <w:rPr>
          <w:rFonts w:hint="eastAsia" w:ascii="宋体" w:hAnsi="宋体" w:cs="宋体"/>
          <w:b/>
          <w:bCs/>
          <w:spacing w:val="2"/>
          <w:kern w:val="0"/>
        </w:rPr>
      </w:pPr>
      <w:r>
        <w:rPr>
          <w:rFonts w:hint="eastAsia" w:ascii="宋体" w:hAnsi="宋体" w:cs="宋体"/>
          <w:b/>
          <w:spacing w:val="2"/>
          <w:kern w:val="0"/>
        </w:rPr>
        <w:t>附图一</w:t>
      </w:r>
      <w:bookmarkStart w:id="1" w:name="OLE_LINK9"/>
      <w:r>
        <w:rPr>
          <w:rFonts w:hint="eastAsia" w:ascii="宋体" w:hAnsi="宋体" w:cs="宋体"/>
          <w:b/>
          <w:spacing w:val="2"/>
          <w:kern w:val="0"/>
        </w:rPr>
        <w:t>（模版仅供参考）</w:t>
      </w:r>
      <w:bookmarkEnd w:id="1"/>
    </w:p>
    <w:p w14:paraId="03443C2E">
      <w:pPr>
        <w:tabs>
          <w:tab w:val="left" w:pos="0"/>
          <w:tab w:val="left" w:pos="284"/>
          <w:tab w:val="left" w:pos="567"/>
          <w:tab w:val="left" w:pos="709"/>
          <w:tab w:val="left" w:pos="935"/>
        </w:tabs>
        <w:spacing w:line="240" w:lineRule="auto"/>
        <w:rPr>
          <w:rFonts w:hint="eastAsia" w:ascii="宋体" w:hAnsi="宋体" w:cs="宋体"/>
          <w:spacing w:val="2"/>
          <w:kern w:val="0"/>
        </w:rPr>
      </w:pPr>
      <w:r>
        <w:rPr>
          <w:rFonts w:hint="eastAsia" w:ascii="宋体" w:hAnsi="宋体" w:cs="宋体"/>
          <w:b/>
          <w:bCs/>
        </w:rPr>
        <w:drawing>
          <wp:inline distT="0" distB="0" distL="114300" distR="114300">
            <wp:extent cx="6189345" cy="1958975"/>
            <wp:effectExtent l="0" t="0" r="1905" b="3175"/>
            <wp:docPr id="4" name="图片 1" descr="1619249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1619249672(1)"/>
                    <pic:cNvPicPr>
                      <a:picLocks noChangeAspect="1"/>
                    </pic:cNvPicPr>
                  </pic:nvPicPr>
                  <pic:blipFill>
                    <a:blip r:embed="rId6"/>
                    <a:stretch>
                      <a:fillRect/>
                    </a:stretch>
                  </pic:blipFill>
                  <pic:spPr>
                    <a:xfrm>
                      <a:off x="0" y="0"/>
                      <a:ext cx="6189345" cy="1958975"/>
                    </a:xfrm>
                    <a:prstGeom prst="rect">
                      <a:avLst/>
                    </a:prstGeom>
                    <a:noFill/>
                    <a:ln>
                      <a:noFill/>
                    </a:ln>
                  </pic:spPr>
                </pic:pic>
              </a:graphicData>
            </a:graphic>
          </wp:inline>
        </w:drawing>
      </w:r>
    </w:p>
    <w:p w14:paraId="0CCCEFC3">
      <w:pPr>
        <w:tabs>
          <w:tab w:val="left" w:pos="0"/>
          <w:tab w:val="left" w:pos="284"/>
          <w:tab w:val="left" w:pos="567"/>
          <w:tab w:val="left" w:pos="709"/>
          <w:tab w:val="left" w:pos="935"/>
        </w:tabs>
        <w:rPr>
          <w:rFonts w:hint="eastAsia" w:ascii="宋体" w:hAnsi="宋体" w:cs="宋体"/>
          <w:spacing w:val="2"/>
          <w:kern w:val="0"/>
        </w:rPr>
      </w:pPr>
    </w:p>
    <w:p w14:paraId="72BF79FE">
      <w:pPr>
        <w:rPr>
          <w:rFonts w:hint="eastAsia" w:ascii="宋体" w:hAnsi="宋体" w:cs="宋体"/>
        </w:rPr>
      </w:pPr>
      <w:r>
        <w:rPr>
          <w:rFonts w:hint="eastAsia" w:ascii="宋体" w:hAnsi="宋体" w:cs="宋体"/>
          <w:b/>
          <w:bCs/>
          <w:spacing w:val="2"/>
          <w:kern w:val="0"/>
        </w:rPr>
        <w:t>附图二</w:t>
      </w:r>
      <w:r>
        <w:rPr>
          <w:rFonts w:hint="eastAsia" w:ascii="宋体" w:hAnsi="宋体" w:cs="宋体"/>
          <w:b/>
          <w:bCs/>
        </w:rPr>
        <w:t>（模版仅供参考）</w:t>
      </w:r>
    </w:p>
    <w:p w14:paraId="2F4040C4">
      <w:pPr>
        <w:spacing w:line="240" w:lineRule="auto"/>
        <w:rPr>
          <w:rFonts w:hint="eastAsia" w:ascii="宋体" w:hAnsi="宋体" w:cs="宋体"/>
        </w:rPr>
      </w:pPr>
      <w:r>
        <w:rPr>
          <w:rFonts w:hint="eastAsia" w:ascii="宋体" w:hAnsi="宋体" w:cs="宋体"/>
        </w:rPr>
        <w:drawing>
          <wp:inline distT="0" distB="0" distL="114300" distR="114300">
            <wp:extent cx="6174105" cy="4043045"/>
            <wp:effectExtent l="0" t="0" r="17145" b="14605"/>
            <wp:docPr id="3"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1"/>
                    <pic:cNvPicPr>
                      <a:picLocks noChangeAspect="1"/>
                    </pic:cNvPicPr>
                  </pic:nvPicPr>
                  <pic:blipFill>
                    <a:blip r:embed="rId7"/>
                    <a:stretch>
                      <a:fillRect/>
                    </a:stretch>
                  </pic:blipFill>
                  <pic:spPr>
                    <a:xfrm>
                      <a:off x="0" y="0"/>
                      <a:ext cx="6174105" cy="4043045"/>
                    </a:xfrm>
                    <a:prstGeom prst="rect">
                      <a:avLst/>
                    </a:prstGeom>
                    <a:noFill/>
                    <a:ln>
                      <a:noFill/>
                    </a:ln>
                  </pic:spPr>
                </pic:pic>
              </a:graphicData>
            </a:graphic>
          </wp:inline>
        </w:drawing>
      </w:r>
    </w:p>
    <w:p w14:paraId="6DA766BE">
      <w:pPr>
        <w:rPr>
          <w:rFonts w:ascii="宋体" w:hAnsi="宋体" w:cs="宋体"/>
          <w:b/>
          <w:bCs/>
        </w:rPr>
      </w:pPr>
    </w:p>
    <w:p w14:paraId="039C96C0">
      <w:pPr>
        <w:rPr>
          <w:rFonts w:hint="eastAsia" w:ascii="宋体" w:hAnsi="宋体" w:cs="宋体"/>
          <w:b/>
          <w:bCs/>
        </w:rPr>
      </w:pPr>
      <w:r>
        <w:rPr>
          <w:rFonts w:ascii="宋体" w:hAnsi="宋体" w:cs="宋体"/>
          <w:b/>
          <w:bCs/>
        </w:rPr>
        <w:br w:type="page"/>
      </w:r>
      <w:r>
        <w:rPr>
          <w:rFonts w:hint="eastAsia" w:ascii="宋体" w:hAnsi="宋体" w:cs="宋体"/>
          <w:b/>
          <w:bCs/>
        </w:rPr>
        <w:t>附图三（模版仅供参考）</w:t>
      </w:r>
    </w:p>
    <w:p w14:paraId="35B2E0C8">
      <w:pPr>
        <w:tabs>
          <w:tab w:val="left" w:pos="0"/>
          <w:tab w:val="left" w:pos="284"/>
          <w:tab w:val="left" w:pos="567"/>
          <w:tab w:val="left" w:pos="709"/>
          <w:tab w:val="left" w:pos="935"/>
        </w:tabs>
        <w:spacing w:line="240" w:lineRule="auto"/>
        <w:rPr>
          <w:rFonts w:hint="eastAsia" w:ascii="宋体" w:hAnsi="宋体" w:cs="宋体"/>
          <w:b/>
          <w:bCs/>
          <w:spacing w:val="2"/>
          <w:kern w:val="0"/>
        </w:rPr>
      </w:pPr>
      <w:r>
        <w:rPr>
          <w:rFonts w:hint="eastAsia" w:ascii="宋体" w:hAnsi="宋体" w:cs="宋体"/>
          <w:b/>
          <w:bCs/>
          <w:spacing w:val="2"/>
          <w:kern w:val="0"/>
        </w:rPr>
        <w:drawing>
          <wp:inline distT="0" distB="0" distL="114300" distR="114300">
            <wp:extent cx="6134735" cy="4382135"/>
            <wp:effectExtent l="0" t="0" r="18415" b="18415"/>
            <wp:docPr id="1"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2"/>
                    <pic:cNvPicPr>
                      <a:picLocks noChangeAspect="1"/>
                    </pic:cNvPicPr>
                  </pic:nvPicPr>
                  <pic:blipFill>
                    <a:blip r:embed="rId8"/>
                    <a:stretch>
                      <a:fillRect/>
                    </a:stretch>
                  </pic:blipFill>
                  <pic:spPr>
                    <a:xfrm>
                      <a:off x="0" y="0"/>
                      <a:ext cx="6134735" cy="4382135"/>
                    </a:xfrm>
                    <a:prstGeom prst="rect">
                      <a:avLst/>
                    </a:prstGeom>
                    <a:noFill/>
                    <a:ln>
                      <a:noFill/>
                    </a:ln>
                  </pic:spPr>
                </pic:pic>
              </a:graphicData>
            </a:graphic>
          </wp:inline>
        </w:drawing>
      </w:r>
    </w:p>
    <w:p w14:paraId="5AC49BED">
      <w:pPr>
        <w:spacing w:line="240" w:lineRule="auto"/>
        <w:rPr>
          <w:rFonts w:hint="eastAsia" w:ascii="宋体" w:hAnsi="宋体" w:cs="宋体"/>
          <w:b/>
          <w:bCs/>
        </w:rPr>
      </w:pPr>
    </w:p>
    <w:p w14:paraId="3F4CCABF">
      <w:pPr>
        <w:rPr>
          <w:rFonts w:hint="eastAsia" w:ascii="宋体" w:hAnsi="宋体" w:cs="宋体"/>
          <w:b/>
          <w:bCs/>
        </w:rPr>
      </w:pPr>
      <w:r>
        <w:rPr>
          <w:rFonts w:hint="eastAsia" w:ascii="宋体" w:hAnsi="宋体" w:cs="宋体"/>
          <w:b/>
          <w:bCs/>
        </w:rPr>
        <w:drawing>
          <wp:anchor distT="0" distB="0" distL="114300" distR="114300" simplePos="0" relativeHeight="251659264" behindDoc="1" locked="0" layoutInCell="1" allowOverlap="1">
            <wp:simplePos x="0" y="0"/>
            <wp:positionH relativeFrom="column">
              <wp:posOffset>-8255</wp:posOffset>
            </wp:positionH>
            <wp:positionV relativeFrom="paragraph">
              <wp:posOffset>330200</wp:posOffset>
            </wp:positionV>
            <wp:extent cx="6064250" cy="3335020"/>
            <wp:effectExtent l="0" t="0" r="12700" b="17780"/>
            <wp:wrapTight wrapText="bothSides">
              <wp:wrapPolygon>
                <wp:start x="0" y="0"/>
                <wp:lineTo x="0" y="21468"/>
                <wp:lineTo x="21510" y="21468"/>
                <wp:lineTo x="21510" y="0"/>
                <wp:lineTo x="0" y="0"/>
              </wp:wrapPolygon>
            </wp:wrapTight>
            <wp:docPr id="2" name="图片 12" descr="1932a285febb04e8472737e96a9f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1932a285febb04e8472737e96a9f479"/>
                    <pic:cNvPicPr>
                      <a:picLocks noChangeAspect="1"/>
                    </pic:cNvPicPr>
                  </pic:nvPicPr>
                  <pic:blipFill>
                    <a:blip r:embed="rId9"/>
                    <a:stretch>
                      <a:fillRect/>
                    </a:stretch>
                  </pic:blipFill>
                  <pic:spPr>
                    <a:xfrm>
                      <a:off x="0" y="0"/>
                      <a:ext cx="6064250" cy="3335020"/>
                    </a:xfrm>
                    <a:prstGeom prst="rect">
                      <a:avLst/>
                    </a:prstGeom>
                    <a:noFill/>
                    <a:ln>
                      <a:noFill/>
                    </a:ln>
                  </pic:spPr>
                </pic:pic>
              </a:graphicData>
            </a:graphic>
          </wp:anchor>
        </w:drawing>
      </w:r>
      <w:r>
        <w:rPr>
          <w:rFonts w:hint="eastAsia" w:ascii="宋体" w:hAnsi="宋体" w:cs="宋体"/>
          <w:b/>
          <w:bCs/>
        </w:rPr>
        <w:t>附图四（模版仅供参考）</w:t>
      </w:r>
    </w:p>
    <w:p w14:paraId="598AD51A">
      <w:pPr>
        <w:wordWrap w:val="0"/>
        <w:topLinePunct/>
        <w:rPr>
          <w:rFonts w:hint="eastAsia" w:ascii="宋体" w:hAnsi="宋体" w:cs="宋体"/>
          <w:b/>
          <w:bCs/>
          <w:color w:val="000000"/>
          <w:spacing w:val="2"/>
          <w:kern w:val="0"/>
        </w:rPr>
      </w:pPr>
      <w:r>
        <w:rPr>
          <w:rFonts w:hint="eastAsia" w:ascii="宋体" w:hAnsi="宋体" w:cs="宋体"/>
          <w:b/>
          <w:bCs/>
          <w:color w:val="000000"/>
          <w:spacing w:val="2"/>
          <w:kern w:val="0"/>
        </w:rPr>
        <w:t>注：以上“技术要求”为实质性条款须完全响应，否则参选无效。</w:t>
      </w:r>
    </w:p>
    <w:p w14:paraId="405E6EA1">
      <w:bookmarkStart w:id="2" w:name="_GoBack"/>
      <w:bookmarkEnd w:id="2"/>
    </w:p>
    <w:sectPr>
      <w:pgSz w:w="11906" w:h="16838"/>
      <w:pgMar w:top="1440" w:right="1519" w:bottom="1440" w:left="151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lvlText w:val="%1"/>
      <w:lvlJc w:val="left"/>
      <w:pPr>
        <w:tabs>
          <w:tab w:val="left" w:pos="432"/>
        </w:tabs>
        <w:ind w:left="432" w:hanging="432"/>
      </w:pPr>
      <w:rPr>
        <w:rFonts w:hint="eastAsia"/>
      </w:rPr>
    </w:lvl>
    <w:lvl w:ilvl="1" w:tentative="0">
      <w:start w:val="1"/>
      <w:numFmt w:val="decimal"/>
      <w:pStyle w:val="3"/>
      <w:suff w:val="space"/>
      <w:lvlText w:val="第%2章 "/>
      <w:lvlJc w:val="right"/>
      <w:pPr>
        <w:ind w:left="576" w:hanging="576"/>
      </w:pPr>
      <w:rPr>
        <w:rFonts w:hint="default" w:cs="Times New Roman"/>
        <w:bCs w:val="0"/>
        <w:i w:val="0"/>
        <w:iCs w:val="0"/>
        <w:caps w:val="0"/>
        <w:smallCaps w:val="0"/>
        <w:vanish w:val="0"/>
        <w:spacing w:val="0"/>
        <w:kern w:val="0"/>
        <w:position w:val="0"/>
        <w:sz w:val="28"/>
        <w:u w:val="none"/>
        <w:vertAlign w:val="baseline"/>
      </w:rPr>
    </w:lvl>
    <w:lvl w:ilvl="2" w:tentative="0">
      <w:start w:val="1"/>
      <w:numFmt w:val="decimal"/>
      <w:lvlText w:val="2.%3"/>
      <w:lvlJc w:val="left"/>
      <w:pPr>
        <w:tabs>
          <w:tab w:val="left" w:pos="1080"/>
        </w:tabs>
        <w:ind w:left="1080" w:hanging="720"/>
      </w:pPr>
      <w:rPr>
        <w:rFonts w:hint="eastAsia"/>
      </w:rPr>
    </w:lvl>
    <w:lvl w:ilvl="3" w:tentative="0">
      <w:start w:val="1"/>
      <w:numFmt w:val="decimal"/>
      <w:lvlText w:val="2.%4"/>
      <w:lvlJc w:val="left"/>
      <w:pPr>
        <w:tabs>
          <w:tab w:val="left" w:pos="1330"/>
        </w:tabs>
        <w:ind w:left="1330" w:hanging="864"/>
      </w:pPr>
      <w:rPr>
        <w:rFonts w:hint="eastAsia"/>
      </w:rPr>
    </w:lvl>
    <w:lvl w:ilvl="4" w:tentative="0">
      <w:start w:val="1"/>
      <w:numFmt w:val="decimal"/>
      <w:lvlText w:val="%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E92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60" w:lineRule="exact"/>
    </w:pPr>
    <w:rPr>
      <w:rFonts w:ascii="Times New Roman" w:hAnsi="Times New Roman" w:eastAsia="宋体" w:cs="Times New Roman"/>
      <w:kern w:val="2"/>
      <w:sz w:val="24"/>
      <w:szCs w:val="24"/>
      <w:lang w:val="en-US" w:eastAsia="zh-CN" w:bidi="ar-SA"/>
    </w:rPr>
  </w:style>
  <w:style w:type="paragraph" w:styleId="3">
    <w:name w:val="heading 2"/>
    <w:basedOn w:val="1"/>
    <w:next w:val="1"/>
    <w:qFormat/>
    <w:uiPriority w:val="0"/>
    <w:pPr>
      <w:keepNext/>
      <w:keepLines/>
      <w:numPr>
        <w:ilvl w:val="1"/>
        <w:numId w:val="1"/>
      </w:numPr>
      <w:adjustRightInd w:val="0"/>
      <w:spacing w:before="260" w:after="260" w:line="416" w:lineRule="atLeast"/>
      <w:textAlignment w:val="baseline"/>
      <w:outlineLvl w:val="1"/>
    </w:pPr>
    <w:rPr>
      <w:rFonts w:ascii="Arial" w:hAnsi="Arial" w:eastAsia="黑体"/>
      <w:b/>
      <w:kern w:val="0"/>
      <w:sz w:val="32"/>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Normal Indent1"/>
    <w:qFormat/>
    <w:uiPriority w:val="0"/>
    <w:pPr>
      <w:kinsoku w:val="0"/>
      <w:autoSpaceDE w:val="0"/>
      <w:autoSpaceDN w:val="0"/>
      <w:adjustRightInd w:val="0"/>
      <w:snapToGrid w:val="0"/>
      <w:ind w:firstLine="420" w:firstLineChars="200"/>
      <w:textAlignment w:val="baseline"/>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2026-08-12T10:11:26Z</dcterms:created>
  <dc:creator>Administrator</dc:creator>
  <cp:lastModifiedBy>WJJ</cp:lastModifiedBy>
  <dcterms:modified xsi:type="dcterms:W3CDTF">2026-08-12T10:11:57Z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eyJoZGlkIjoiOGE5YWNkNzFlNzM1YTNmZDQwY2Y4ZGU2YjQyY2Q3YWYiLCJ1c2VySWQiOiIyODQ3NjAxNjYifQ==</vt:lpwstr>
  </property>
  <property fmtid="{D5CDD505-2E9C-101B-9397-08002B2CF9AE}" pid="4" name="ICV">
    <vt:lpwstr>43DF44A3E61A4284BD7C060F7DA57D2B_12</vt:lpwstr>
  </property>
</Properties>
</file>