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7C480">
      <w:pPr>
        <w:pStyle w:val="2"/>
        <w:tabs>
          <w:tab w:val="right" w:leader="dot" w:pos="8295"/>
          <w:tab w:val="right" w:leader="dot" w:pos="8364"/>
        </w:tabs>
        <w:wordWrap w:val="0"/>
        <w:topLinePunct/>
        <w:snapToGrid w:val="0"/>
        <w:spacing w:before="0" w:after="0" w:line="460" w:lineRule="exact"/>
        <w:ind w:left="0" w:firstLine="0"/>
        <w:jc w:val="center"/>
        <w:outlineLvl w:val="0"/>
        <w:rPr>
          <w:rFonts w:ascii="黑体" w:hAnsi="黑体" w:eastAsia="黑体" w:cs="宋体"/>
          <w:color w:val="auto"/>
          <w:sz w:val="28"/>
          <w:szCs w:val="28"/>
        </w:rPr>
      </w:pPr>
      <w:r>
        <w:rPr>
          <w:rFonts w:hint="eastAsia" w:ascii="黑体" w:hAnsi="黑体" w:eastAsia="黑体" w:cs="宋体"/>
          <w:color w:val="auto"/>
          <w:sz w:val="28"/>
          <w:szCs w:val="28"/>
        </w:rPr>
        <w:t>采购需求</w:t>
      </w:r>
    </w:p>
    <w:p w14:paraId="4E38C552">
      <w:pPr>
        <w:wordWrap w:val="0"/>
        <w:topLinePunct/>
        <w:snapToGrid w:val="0"/>
        <w:spacing w:line="460" w:lineRule="exact"/>
        <w:rPr>
          <w:rFonts w:eastAsia="宋体"/>
          <w:b/>
          <w:bCs/>
          <w:color w:val="auto"/>
          <w:sz w:val="24"/>
          <w:szCs w:val="24"/>
        </w:rPr>
      </w:pPr>
      <w:r>
        <w:rPr>
          <w:rFonts w:hint="eastAsia" w:eastAsia="宋体"/>
          <w:b/>
          <w:color w:val="auto"/>
          <w:sz w:val="24"/>
          <w:szCs w:val="24"/>
        </w:rPr>
        <w:t>一、 采购清单一览表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4281"/>
        <w:gridCol w:w="629"/>
        <w:gridCol w:w="755"/>
        <w:gridCol w:w="1640"/>
      </w:tblGrid>
      <w:tr w14:paraId="624F2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 w:hRule="atLeast"/>
        </w:trPr>
        <w:tc>
          <w:tcPr>
            <w:tcW w:w="3182" w:type="pct"/>
            <w:gridSpan w:val="2"/>
            <w:vAlign w:val="center"/>
          </w:tcPr>
          <w:p w14:paraId="6AF66A28">
            <w:pPr>
              <w:wordWrap w:val="0"/>
              <w:topLinePunct/>
              <w:spacing w:line="460" w:lineRule="exact"/>
              <w:jc w:val="center"/>
              <w:rPr>
                <w:rFonts w:eastAsia="宋体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eastAsia="宋体"/>
                <w:b/>
                <w:color w:val="auto"/>
                <w:kern w:val="2"/>
                <w:sz w:val="24"/>
                <w:szCs w:val="24"/>
              </w:rPr>
              <w:t>服务名称</w:t>
            </w:r>
          </w:p>
        </w:tc>
        <w:tc>
          <w:tcPr>
            <w:tcW w:w="378" w:type="pct"/>
            <w:vAlign w:val="center"/>
          </w:tcPr>
          <w:p w14:paraId="64DCAF29">
            <w:pPr>
              <w:wordWrap w:val="0"/>
              <w:topLinePunct/>
              <w:spacing w:line="460" w:lineRule="exact"/>
              <w:jc w:val="center"/>
              <w:rPr>
                <w:rFonts w:eastAsia="宋体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eastAsia="宋体"/>
                <w:b/>
                <w:color w:val="auto"/>
                <w:kern w:val="2"/>
                <w:sz w:val="24"/>
                <w:szCs w:val="24"/>
              </w:rPr>
              <w:t>数量</w:t>
            </w:r>
          </w:p>
        </w:tc>
        <w:tc>
          <w:tcPr>
            <w:tcW w:w="454" w:type="pct"/>
            <w:vAlign w:val="center"/>
          </w:tcPr>
          <w:p w14:paraId="690B092B">
            <w:pPr>
              <w:wordWrap w:val="0"/>
              <w:topLinePunct/>
              <w:spacing w:line="460" w:lineRule="exact"/>
              <w:jc w:val="center"/>
              <w:rPr>
                <w:rFonts w:eastAsia="宋体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eastAsia="宋体"/>
                <w:b/>
                <w:color w:val="auto"/>
                <w:kern w:val="2"/>
                <w:sz w:val="24"/>
                <w:szCs w:val="24"/>
              </w:rPr>
              <w:t>单位</w:t>
            </w:r>
          </w:p>
        </w:tc>
        <w:tc>
          <w:tcPr>
            <w:tcW w:w="986" w:type="pct"/>
            <w:vAlign w:val="center"/>
          </w:tcPr>
          <w:p w14:paraId="4C0276FF">
            <w:pPr>
              <w:wordWrap w:val="0"/>
              <w:topLinePunct/>
              <w:spacing w:line="460" w:lineRule="exact"/>
              <w:jc w:val="center"/>
              <w:rPr>
                <w:rFonts w:eastAsia="宋体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eastAsia="宋体"/>
                <w:b/>
                <w:color w:val="auto"/>
                <w:kern w:val="2"/>
                <w:sz w:val="24"/>
                <w:szCs w:val="24"/>
              </w:rPr>
              <w:t>预算金额（元）</w:t>
            </w:r>
          </w:p>
        </w:tc>
      </w:tr>
      <w:tr w14:paraId="74A97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82" w:type="pct"/>
            <w:gridSpan w:val="2"/>
            <w:vAlign w:val="center"/>
          </w:tcPr>
          <w:p w14:paraId="0DA728C8">
            <w:pPr>
              <w:wordWrap w:val="0"/>
              <w:topLinePunct/>
              <w:spacing w:line="460" w:lineRule="exact"/>
              <w:jc w:val="center"/>
              <w:rPr>
                <w:rFonts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eastAsia="宋体"/>
                <w:color w:val="auto"/>
                <w:kern w:val="2"/>
                <w:sz w:val="24"/>
                <w:szCs w:val="24"/>
              </w:rPr>
              <w:t>南昌大学江西医学院东湖校区建设白求恩纪念雕像项目</w:t>
            </w:r>
          </w:p>
        </w:tc>
        <w:tc>
          <w:tcPr>
            <w:tcW w:w="378" w:type="pct"/>
            <w:vAlign w:val="center"/>
          </w:tcPr>
          <w:p w14:paraId="588EBD01">
            <w:pPr>
              <w:wordWrap w:val="0"/>
              <w:topLinePunct/>
              <w:spacing w:line="460" w:lineRule="exact"/>
              <w:jc w:val="center"/>
              <w:rPr>
                <w:rFonts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2"/>
                <w:sz w:val="24"/>
                <w:szCs w:val="24"/>
              </w:rPr>
              <w:t>1</w:t>
            </w:r>
          </w:p>
        </w:tc>
        <w:tc>
          <w:tcPr>
            <w:tcW w:w="454" w:type="pct"/>
            <w:vAlign w:val="center"/>
          </w:tcPr>
          <w:p w14:paraId="2476C980">
            <w:pPr>
              <w:wordWrap w:val="0"/>
              <w:topLinePunct/>
              <w:spacing w:line="460" w:lineRule="exact"/>
              <w:jc w:val="center"/>
              <w:rPr>
                <w:rFonts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eastAsia="宋体"/>
                <w:color w:val="auto"/>
                <w:kern w:val="2"/>
                <w:sz w:val="24"/>
                <w:szCs w:val="24"/>
              </w:rPr>
              <w:t>项</w:t>
            </w:r>
          </w:p>
        </w:tc>
        <w:tc>
          <w:tcPr>
            <w:tcW w:w="986" w:type="pct"/>
            <w:vAlign w:val="center"/>
          </w:tcPr>
          <w:p w14:paraId="4FA6A82A">
            <w:pPr>
              <w:wordWrap w:val="0"/>
              <w:topLinePunct/>
              <w:spacing w:line="460" w:lineRule="exact"/>
              <w:jc w:val="center"/>
              <w:rPr>
                <w:rFonts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2"/>
                <w:sz w:val="24"/>
                <w:szCs w:val="24"/>
              </w:rPr>
              <w:t>650000.00</w:t>
            </w:r>
          </w:p>
        </w:tc>
      </w:tr>
      <w:tr w14:paraId="2AD38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8" w:type="pct"/>
            <w:vAlign w:val="center"/>
          </w:tcPr>
          <w:p w14:paraId="70F99ECF">
            <w:pPr>
              <w:wordWrap w:val="0"/>
              <w:topLinePunct/>
              <w:spacing w:line="460" w:lineRule="exact"/>
              <w:jc w:val="center"/>
              <w:rPr>
                <w:rFonts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eastAsia="宋体"/>
                <w:color w:val="auto"/>
                <w:kern w:val="2"/>
                <w:sz w:val="24"/>
                <w:szCs w:val="24"/>
              </w:rPr>
              <w:t>项目背景</w:t>
            </w:r>
          </w:p>
        </w:tc>
        <w:tc>
          <w:tcPr>
            <w:tcW w:w="4392" w:type="pct"/>
            <w:gridSpan w:val="4"/>
            <w:vAlign w:val="center"/>
          </w:tcPr>
          <w:p w14:paraId="5A82DEA4">
            <w:pPr>
              <w:wordWrap w:val="0"/>
              <w:topLinePunct/>
              <w:spacing w:line="460" w:lineRule="exact"/>
              <w:rPr>
                <w:rFonts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eastAsia="宋体"/>
                <w:color w:val="auto"/>
                <w:kern w:val="2"/>
                <w:sz w:val="24"/>
                <w:szCs w:val="24"/>
              </w:rPr>
              <w:t>为传承医学人文精神、缅怀国际主义战士白求恩同志，采购人拟在医学部东湖校区重建白求恩纪念雕塑。本项目包含原址现有不锈钢抽象雕塑拆除搬迁、新建白求恩雕塑设计制作安装、土建基础施工及周边景观复原等全部工作内容，为交钥匙工程。</w:t>
            </w:r>
          </w:p>
        </w:tc>
      </w:tr>
    </w:tbl>
    <w:p w14:paraId="3A2BA9E1">
      <w:pPr>
        <w:wordWrap w:val="0"/>
        <w:topLinePunct/>
        <w:snapToGrid w:val="0"/>
        <w:spacing w:line="460" w:lineRule="exact"/>
        <w:rPr>
          <w:rFonts w:eastAsia="宋体"/>
          <w:b/>
          <w:color w:val="auto"/>
          <w:sz w:val="24"/>
          <w:szCs w:val="24"/>
        </w:rPr>
      </w:pPr>
      <w:r>
        <w:rPr>
          <w:rFonts w:eastAsia="宋体"/>
          <w:b/>
          <w:color w:val="auto"/>
          <w:sz w:val="24"/>
          <w:szCs w:val="24"/>
        </w:rPr>
        <w:t>二、技术要求</w:t>
      </w:r>
    </w:p>
    <w:p w14:paraId="5E690106">
      <w:pPr>
        <w:wordWrap w:val="0"/>
        <w:topLinePunct/>
        <w:spacing w:line="460" w:lineRule="exact"/>
        <w:rPr>
          <w:rFonts w:eastAsia="宋体"/>
          <w:color w:val="auto"/>
          <w:sz w:val="24"/>
          <w:szCs w:val="24"/>
        </w:rPr>
      </w:pPr>
      <w:r>
        <w:rPr>
          <w:rFonts w:eastAsia="宋体"/>
          <w:color w:val="auto"/>
          <w:sz w:val="24"/>
          <w:szCs w:val="24"/>
        </w:rPr>
        <w:t>★1、雕塑拟设置位置： 医学部东湖校区。</w:t>
      </w:r>
    </w:p>
    <w:p w14:paraId="085546F7">
      <w:pPr>
        <w:wordWrap w:val="0"/>
        <w:topLinePunct/>
        <w:spacing w:line="460" w:lineRule="exact"/>
        <w:rPr>
          <w:rFonts w:eastAsia="宋体"/>
          <w:color w:val="auto"/>
          <w:sz w:val="24"/>
          <w:szCs w:val="24"/>
        </w:rPr>
      </w:pPr>
      <w:r>
        <w:rPr>
          <w:rFonts w:eastAsia="宋体"/>
          <w:color w:val="auto"/>
          <w:sz w:val="24"/>
          <w:szCs w:val="24"/>
        </w:rPr>
        <w:t>★2、雕塑尺寸：白求恩雕塑整体高度5.7米，人物高度3.8米，基座长1.9米，宽2.1米，高度1.9米。学校历史白求恩雕塑还原参考图：</w:t>
      </w:r>
    </w:p>
    <w:p w14:paraId="6DF6D2D1">
      <w:pPr>
        <w:wordWrap w:val="0"/>
        <w:topLinePunct/>
        <w:rPr>
          <w:rFonts w:eastAsia="宋体"/>
          <w:color w:val="auto"/>
          <w:sz w:val="24"/>
          <w:szCs w:val="24"/>
        </w:rPr>
      </w:pPr>
      <w:r>
        <w:rPr>
          <w:color w:val="auto"/>
        </w:rPr>
        <w:drawing>
          <wp:inline distT="0" distB="0" distL="0" distR="0">
            <wp:extent cx="5964555" cy="3529965"/>
            <wp:effectExtent l="0" t="0" r="17145" b="13335"/>
            <wp:docPr id="1" name="图片 1" descr="081d138b4da0b276b6ac198b807bbb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81d138b4da0b276b6ac198b807bbb3d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866" cy="353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D95B1">
      <w:pPr>
        <w:wordWrap w:val="0"/>
        <w:topLinePunct/>
        <w:spacing w:line="460" w:lineRule="exact"/>
        <w:rPr>
          <w:color w:val="auto"/>
        </w:rPr>
      </w:pPr>
      <w:r>
        <w:rPr>
          <w:rFonts w:eastAsia="宋体"/>
          <w:color w:val="auto"/>
          <w:sz w:val="24"/>
          <w:szCs w:val="24"/>
        </w:rPr>
        <w:t>注：</w:t>
      </w:r>
      <w:r>
        <w:rPr>
          <w:rFonts w:hint="eastAsia" w:eastAsia="宋体"/>
          <w:color w:val="auto"/>
          <w:sz w:val="24"/>
          <w:szCs w:val="24"/>
        </w:rPr>
        <w:t>上</w:t>
      </w:r>
      <w:r>
        <w:rPr>
          <w:rFonts w:eastAsia="宋体"/>
          <w:color w:val="auto"/>
          <w:sz w:val="24"/>
          <w:szCs w:val="24"/>
        </w:rPr>
        <w:t>图系学校80年代白求恩雕塑历史照片，仅供艺术造型风格参考，不代表现址实景环境。</w:t>
      </w:r>
      <w:r>
        <w:rPr>
          <w:rFonts w:hint="eastAsia" w:eastAsia="宋体"/>
          <w:color w:val="auto"/>
          <w:sz w:val="24"/>
          <w:szCs w:val="24"/>
        </w:rPr>
        <w:t>供应商</w:t>
      </w:r>
      <w:r>
        <w:rPr>
          <w:rFonts w:eastAsia="宋体"/>
          <w:color w:val="auto"/>
          <w:sz w:val="24"/>
          <w:szCs w:val="24"/>
        </w:rPr>
        <w:t>须以现址实际场地条件为准进行方案设计。</w:t>
      </w:r>
    </w:p>
    <w:p w14:paraId="70E9CF69">
      <w:pPr>
        <w:wordWrap w:val="0"/>
        <w:topLinePunct/>
        <w:spacing w:line="460" w:lineRule="exact"/>
        <w:rPr>
          <w:rFonts w:eastAsia="宋体"/>
          <w:color w:val="auto"/>
          <w:sz w:val="24"/>
          <w:szCs w:val="24"/>
        </w:rPr>
      </w:pPr>
      <w:r>
        <w:rPr>
          <w:rFonts w:eastAsia="宋体"/>
          <w:color w:val="auto"/>
          <w:sz w:val="24"/>
          <w:szCs w:val="24"/>
        </w:rPr>
        <w:t>★3、雕塑材质： 采用符合GB/T 19766-2016优等品（A）要求的汉白玉（白色大理石）雕刻，白度≥70，镜向光泽度≥70光泽单位，体积密度≥2.50g/cm³，吸水率≤0.60%，干燥压缩强度≥50.0MPa，弯曲强度≥7.0MPa，放射性核素限量符合GB 6566-2010《建筑材料放射性核素限量》标准要求。雕塑最多分为两块安装，基座为黑金砂花岗岩干挂。</w:t>
      </w:r>
    </w:p>
    <w:p w14:paraId="784F8896">
      <w:pPr>
        <w:wordWrap w:val="0"/>
        <w:topLinePunct/>
        <w:spacing w:line="460" w:lineRule="exact"/>
        <w:rPr>
          <w:rFonts w:eastAsia="宋体"/>
          <w:color w:val="auto"/>
          <w:sz w:val="24"/>
          <w:szCs w:val="24"/>
        </w:rPr>
      </w:pPr>
      <w:r>
        <w:rPr>
          <w:rFonts w:eastAsia="宋体"/>
          <w:color w:val="auto"/>
          <w:sz w:val="24"/>
          <w:szCs w:val="24"/>
        </w:rPr>
        <w:t>★4、原址现有不锈钢抽象雕塑拆除搬迁：项目需要先将原址5米高不锈钢抽象雕塑拆除搬迁至前湖校区。</w:t>
      </w:r>
    </w:p>
    <w:p w14:paraId="05E07E46">
      <w:pPr>
        <w:wordWrap w:val="0"/>
        <w:topLinePunct/>
        <w:spacing w:line="460" w:lineRule="exact"/>
        <w:rPr>
          <w:rFonts w:eastAsia="宋体"/>
          <w:color w:val="auto"/>
          <w:sz w:val="24"/>
          <w:szCs w:val="24"/>
        </w:rPr>
      </w:pPr>
      <w:r>
        <w:rPr>
          <w:rFonts w:eastAsia="宋体"/>
          <w:color w:val="auto"/>
          <w:sz w:val="24"/>
          <w:szCs w:val="24"/>
        </w:rPr>
        <w:t>★</w:t>
      </w:r>
      <w:r>
        <w:rPr>
          <w:rFonts w:hint="eastAsia" w:eastAsia="宋体"/>
          <w:color w:val="auto"/>
          <w:sz w:val="24"/>
          <w:szCs w:val="24"/>
        </w:rPr>
        <w:t>5</w:t>
      </w:r>
      <w:r>
        <w:rPr>
          <w:rFonts w:eastAsia="宋体"/>
          <w:color w:val="auto"/>
          <w:sz w:val="24"/>
          <w:szCs w:val="24"/>
        </w:rPr>
        <w:t>、基础配套：需进行雕塑土建基础施工及周边景观复原。</w:t>
      </w:r>
    </w:p>
    <w:p w14:paraId="6312FF5C">
      <w:pPr>
        <w:wordWrap w:val="0"/>
        <w:topLinePunct/>
        <w:spacing w:line="460" w:lineRule="exact"/>
        <w:rPr>
          <w:rFonts w:eastAsia="宋体"/>
          <w:color w:val="auto"/>
          <w:sz w:val="24"/>
          <w:szCs w:val="24"/>
        </w:rPr>
      </w:pPr>
      <w:r>
        <w:rPr>
          <w:rFonts w:eastAsia="宋体"/>
          <w:color w:val="auto"/>
          <w:sz w:val="24"/>
          <w:szCs w:val="24"/>
        </w:rPr>
        <w:t>★</w:t>
      </w:r>
      <w:r>
        <w:rPr>
          <w:rFonts w:hint="eastAsia" w:eastAsia="宋体"/>
          <w:color w:val="auto"/>
          <w:sz w:val="24"/>
          <w:szCs w:val="24"/>
        </w:rPr>
        <w:t>6</w:t>
      </w:r>
      <w:r>
        <w:rPr>
          <w:rFonts w:eastAsia="宋体"/>
          <w:color w:val="auto"/>
          <w:sz w:val="24"/>
          <w:szCs w:val="24"/>
        </w:rPr>
        <w:t>、供应商需针对本项目提供项目团队，至少具备项目负责人、设计、雕刻、安装、安全、维保等岗位的人员各一名。</w:t>
      </w:r>
    </w:p>
    <w:p w14:paraId="79A0CE04">
      <w:pPr>
        <w:wordWrap w:val="0"/>
        <w:topLinePunct/>
        <w:spacing w:line="460" w:lineRule="exact"/>
        <w:rPr>
          <w:rFonts w:eastAsia="宋体"/>
          <w:color w:val="auto"/>
          <w:sz w:val="24"/>
          <w:szCs w:val="24"/>
        </w:rPr>
      </w:pPr>
      <w:r>
        <w:rPr>
          <w:rFonts w:eastAsia="宋体"/>
          <w:color w:val="auto"/>
          <w:sz w:val="24"/>
          <w:szCs w:val="24"/>
        </w:rPr>
        <w:t>★</w:t>
      </w:r>
      <w:r>
        <w:rPr>
          <w:rFonts w:hint="eastAsia" w:eastAsia="宋体"/>
          <w:color w:val="auto"/>
          <w:sz w:val="24"/>
          <w:szCs w:val="24"/>
        </w:rPr>
        <w:t>7</w:t>
      </w:r>
      <w:r>
        <w:rPr>
          <w:rFonts w:eastAsia="宋体"/>
          <w:color w:val="auto"/>
          <w:sz w:val="24"/>
          <w:szCs w:val="24"/>
        </w:rPr>
        <w:t>、雕塑设计成果要求：合同签订后，供应商3日内递交雕塑与周边环境视频动画与平面布置图、雕塑周围立面分析图、雕塑施工图、石材样品、实施服务安装方案、雕塑施工安装方案）及相关材料供采购人审核，设计最终通过后方制作及进场安装实施项目。</w:t>
      </w:r>
    </w:p>
    <w:p w14:paraId="68483EBD">
      <w:pPr>
        <w:wordWrap w:val="0"/>
        <w:topLinePunct/>
        <w:spacing w:line="460" w:lineRule="exact"/>
        <w:rPr>
          <w:rFonts w:eastAsia="宋体"/>
          <w:color w:val="auto"/>
          <w:sz w:val="24"/>
          <w:szCs w:val="24"/>
        </w:rPr>
      </w:pPr>
      <w:r>
        <w:rPr>
          <w:rFonts w:hint="eastAsia" w:eastAsia="宋体"/>
          <w:b/>
          <w:color w:val="auto"/>
          <w:sz w:val="24"/>
          <w:szCs w:val="24"/>
        </w:rPr>
        <w:t>注：“★”代表实质性指标，不允许负偏离，否则响应无效。</w:t>
      </w:r>
    </w:p>
    <w:p w14:paraId="0062DB0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AE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Malgun Gothic" w:cs="宋体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right" w:leader="dot" w:pos="9372"/>
      </w:tabs>
      <w:spacing w:before="120" w:after="120"/>
      <w:ind w:left="567" w:hanging="569"/>
      <w:jc w:val="left"/>
    </w:pPr>
    <w:rPr>
      <w:rFonts w:eastAsia="宋体" w:cs="Times New Roman"/>
      <w:b/>
      <w:bCs/>
      <w:caps/>
      <w:kern w:val="2"/>
      <w:sz w:val="24"/>
      <w:szCs w:val="24"/>
    </w:rPr>
  </w:style>
  <w:style w:type="table" w:styleId="4">
    <w:name w:val="Table Grid"/>
    <w:basedOn w:val="3"/>
    <w:qFormat/>
    <w:uiPriority w:val="39"/>
    <w:rPr>
      <w:rFonts w:ascii="Calibri" w:hAnsi="Calibri" w:cs="宋体"/>
      <w:kern w:val="2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2026-08-11T02:18:00Z</dcterms:created>
  <dc:creator>Administrator</dc:creator>
  <cp:lastModifiedBy>WJJ</cp:lastModifiedBy>
  <dcterms:modified xsi:type="dcterms:W3CDTF">2026-08-11T02:18:53Z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eyJoZGlkIjoiOGE5YWNkNzFlNzM1YTNmZDQwY2Y4ZGU2YjQyY2Q3YWYiLCJ1c2VySWQiOiIyODQ3NjAxNjYifQ==</vt:lpwstr>
  </property>
  <property fmtid="{D5CDD505-2E9C-101B-9397-08002B2CF9AE}" pid="4" name="ICV">
    <vt:lpwstr>A09B912515FA44DB86A50B6137808CE1_12</vt:lpwstr>
  </property>
</Properties>
</file>