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C22EE7">
      <w:pPr>
        <w:pStyle w:val="2"/>
        <w:spacing w:before="0" w:after="0"/>
        <w:rPr>
          <w:rFonts w:hint="eastAsia" w:ascii="宋体" w:hAnsi="宋体"/>
          <w:color w:val="000000"/>
          <w:sz w:val="28"/>
          <w:szCs w:val="28"/>
        </w:rPr>
      </w:pPr>
      <w:bookmarkStart w:id="0" w:name="_Toc6437"/>
      <w:bookmarkStart w:id="1" w:name="_Toc32165"/>
      <w:bookmarkStart w:id="2" w:name="_Toc8467"/>
      <w:r>
        <w:rPr>
          <w:rFonts w:hint="eastAsia" w:ascii="宋体" w:hAnsi="宋体"/>
          <w:color w:val="000000"/>
          <w:sz w:val="28"/>
          <w:szCs w:val="28"/>
        </w:rPr>
        <w:t>一、</w:t>
      </w:r>
      <w:bookmarkEnd w:id="0"/>
      <w:r>
        <w:rPr>
          <w:rFonts w:hint="eastAsia" w:ascii="宋体" w:hAnsi="宋体"/>
          <w:color w:val="000000"/>
          <w:sz w:val="28"/>
          <w:szCs w:val="28"/>
        </w:rPr>
        <w:t>采购清单</w:t>
      </w:r>
      <w:bookmarkEnd w:id="1"/>
      <w:bookmarkEnd w:id="2"/>
    </w:p>
    <w:tbl>
      <w:tblPr>
        <w:tblStyle w:val="3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4049"/>
        <w:gridCol w:w="993"/>
        <w:gridCol w:w="993"/>
        <w:gridCol w:w="1809"/>
      </w:tblGrid>
      <w:tr w14:paraId="56CC3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394" w:type="pct"/>
            <w:noWrap w:val="0"/>
            <w:vAlign w:val="center"/>
          </w:tcPr>
          <w:p w14:paraId="69CC3CCE">
            <w:pPr>
              <w:spacing w:line="46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2377" w:type="pct"/>
            <w:noWrap w:val="0"/>
            <w:vAlign w:val="center"/>
          </w:tcPr>
          <w:p w14:paraId="3AE8290B">
            <w:pPr>
              <w:spacing w:line="460" w:lineRule="exact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bookmarkStart w:id="3" w:name="_Toc4137"/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采购标的名称</w:t>
            </w:r>
            <w:bookmarkEnd w:id="3"/>
          </w:p>
        </w:tc>
        <w:tc>
          <w:tcPr>
            <w:tcW w:w="583" w:type="pct"/>
            <w:noWrap w:val="0"/>
            <w:vAlign w:val="center"/>
          </w:tcPr>
          <w:p w14:paraId="49E874DC">
            <w:pPr>
              <w:spacing w:line="46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数量</w:t>
            </w:r>
          </w:p>
        </w:tc>
        <w:tc>
          <w:tcPr>
            <w:tcW w:w="583" w:type="pct"/>
            <w:noWrap w:val="0"/>
            <w:vAlign w:val="center"/>
          </w:tcPr>
          <w:p w14:paraId="39A70855">
            <w:pPr>
              <w:spacing w:line="46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1061" w:type="pct"/>
            <w:noWrap w:val="0"/>
            <w:vAlign w:val="center"/>
          </w:tcPr>
          <w:p w14:paraId="2BD8CD8E">
            <w:pPr>
              <w:spacing w:line="460" w:lineRule="exact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备注</w:t>
            </w:r>
          </w:p>
        </w:tc>
      </w:tr>
      <w:tr w14:paraId="7D02D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" w:type="pct"/>
            <w:noWrap w:val="0"/>
            <w:vAlign w:val="center"/>
          </w:tcPr>
          <w:p w14:paraId="4662AB3C">
            <w:pPr>
              <w:spacing w:line="4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2377" w:type="pct"/>
            <w:noWrap w:val="0"/>
            <w:vAlign w:val="center"/>
          </w:tcPr>
          <w:p w14:paraId="23B9A408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江铃汽车集团财务有限公司智控数据流程自动化平台（RPA）2026年项目</w:t>
            </w:r>
          </w:p>
        </w:tc>
        <w:tc>
          <w:tcPr>
            <w:tcW w:w="583" w:type="pct"/>
            <w:noWrap w:val="0"/>
            <w:vAlign w:val="center"/>
          </w:tcPr>
          <w:p w14:paraId="3FFCBB57">
            <w:pPr>
              <w:widowControl/>
              <w:spacing w:line="4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83" w:type="pct"/>
            <w:noWrap w:val="0"/>
            <w:vAlign w:val="center"/>
          </w:tcPr>
          <w:p w14:paraId="52A37083">
            <w:pPr>
              <w:widowControl/>
              <w:spacing w:line="4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1061" w:type="pct"/>
            <w:noWrap w:val="0"/>
            <w:vAlign w:val="center"/>
          </w:tcPr>
          <w:p w14:paraId="0A190FDF">
            <w:pPr>
              <w:spacing w:line="4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/</w:t>
            </w:r>
          </w:p>
        </w:tc>
      </w:tr>
    </w:tbl>
    <w:p w14:paraId="33EC0869">
      <w:pPr>
        <w:rPr>
          <w:rFonts w:hint="eastAsia"/>
        </w:rPr>
      </w:pPr>
    </w:p>
    <w:p w14:paraId="6A4CEB10">
      <w:pPr>
        <w:pStyle w:val="2"/>
        <w:spacing w:before="0" w:after="0"/>
        <w:rPr>
          <w:rFonts w:hint="eastAsia" w:ascii="宋体" w:hAnsi="宋体"/>
          <w:color w:val="000000"/>
          <w:sz w:val="28"/>
          <w:szCs w:val="28"/>
        </w:rPr>
      </w:pPr>
      <w:bookmarkStart w:id="4" w:name="_Toc2378"/>
      <w:r>
        <w:rPr>
          <w:rFonts w:hint="eastAsia" w:ascii="宋体" w:hAnsi="宋体"/>
          <w:color w:val="000000"/>
          <w:sz w:val="28"/>
          <w:szCs w:val="28"/>
        </w:rPr>
        <w:t>二、技术要求</w:t>
      </w:r>
      <w:bookmarkEnd w:id="4"/>
    </w:p>
    <w:p w14:paraId="143AE4A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line="460" w:lineRule="exact"/>
        <w:ind w:firstLine="482" w:firstLineChars="200"/>
        <w:jc w:val="left"/>
        <w:textAlignment w:val="auto"/>
        <w:outlineLvl w:val="9"/>
        <w:rPr>
          <w:rStyle w:val="5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lang w:eastAsia="zh-CN"/>
        </w:rPr>
        <w:t>（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  <w:t>一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lang w:eastAsia="zh-CN"/>
        </w:rPr>
        <w:t>）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  <w:t>需求背景</w:t>
      </w:r>
    </w:p>
    <w:p w14:paraId="476D1CE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75" w:firstLineChars="198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随着我公司业务领域的规模扩张，各部门日常操作中重复性、机械性工作占比高、人工误差风险大、跨系统协同效率低等问题日益凸显，对通过</w:t>
      </w:r>
      <w:r>
        <w:rPr>
          <w:rFonts w:hint="eastAsia" w:ascii="宋体" w:hAnsi="宋体" w:eastAsia="宋体" w:cs="宋体"/>
          <w:b w:val="0"/>
          <w:color w:val="auto"/>
          <w:sz w:val="24"/>
          <w:szCs w:val="24"/>
          <w:highlight w:val="none"/>
          <w:lang w:val="en-US" w:eastAsia="zh-CN"/>
        </w:rPr>
        <w:t>智控数据流程自动化平台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RPA）技术优化业务流程、降低运营成本的需求愈发迫切。为进一步打通跨系统协同壁垒，精准破解人工运营痛点，提升业务条线作业效能与合规管控水平，更好地适配公司规模化发展战略，结合各部门实际作业场景，通过RPA技术落地流程自动化改造，以推动公司整体运营管理高质量发展。</w:t>
      </w:r>
    </w:p>
    <w:p w14:paraId="423B066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line="460" w:lineRule="exact"/>
        <w:ind w:firstLine="482" w:firstLineChars="200"/>
        <w:jc w:val="left"/>
        <w:textAlignment w:val="auto"/>
        <w:outlineLvl w:val="9"/>
        <w:rPr>
          <w:rStyle w:val="5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lang w:eastAsia="zh-CN"/>
        </w:rPr>
        <w:t>（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  <w:t>二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lang w:eastAsia="zh-CN"/>
        </w:rPr>
        <w:t>）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  <w:t>需求类型</w:t>
      </w:r>
    </w:p>
    <w:p w14:paraId="4E1F8F1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left="596" w:leftChars="284"/>
        <w:jc w:val="left"/>
        <w:textAlignment w:val="auto"/>
        <w:outlineLvl w:val="9"/>
        <w:rPr>
          <w:rStyle w:val="5"/>
          <w:rFonts w:hint="eastAsia" w:ascii="宋体" w:hAnsi="宋体" w:eastAsia="宋体" w:cs="宋体"/>
          <w:i w:val="0"/>
          <w:i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业务支撑类</w:t>
      </w:r>
    </w:p>
    <w:p w14:paraId="00C6BE3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line="460" w:lineRule="exact"/>
        <w:ind w:firstLine="482" w:firstLineChars="200"/>
        <w:jc w:val="left"/>
        <w:textAlignment w:val="auto"/>
        <w:outlineLvl w:val="9"/>
        <w:rPr>
          <w:rStyle w:val="5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lang w:eastAsia="zh-CN"/>
        </w:rPr>
        <w:t>（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  <w:t>三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lang w:eastAsia="zh-CN"/>
        </w:rPr>
        <w:t>）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  <w:t>需求内容</w:t>
      </w:r>
    </w:p>
    <w:p w14:paraId="61E9C1DF">
      <w:pPr>
        <w:pStyle w:val="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left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中登网动产抵押自动录入</w:t>
      </w:r>
    </w:p>
    <w:p w14:paraId="116677AC">
      <w:pPr>
        <w:pStyle w:val="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left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实现从抵押明细文件（PDF/Excel格式）中自动抓取关键信息，并在中登网完成动产抵押登记的新增创建与存量更新操作，实现登记结果的自动回填与证明文件下载。</w:t>
      </w:r>
    </w:p>
    <w:p w14:paraId="0C8CC6D9">
      <w:pPr>
        <w:pStyle w:val="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2.国家信用公示系统经销商信息查询与下载</w:t>
      </w:r>
    </w:p>
    <w:p w14:paraId="7C2F488A">
      <w:pPr>
        <w:pStyle w:val="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实现根据Excel文件中的经销商名称列表，在国家企业信用信息公示系统中进行批量自动化查询，下载企业信息报告，并对已下载的报告进行二次解析，提取关键变更信息并结构化输出。</w:t>
      </w:r>
    </w:p>
    <w:p w14:paraId="5AE1DE3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line="460" w:lineRule="exact"/>
        <w:ind w:firstLine="480" w:firstLineChars="200"/>
        <w:jc w:val="left"/>
        <w:textAlignment w:val="auto"/>
        <w:outlineLvl w:val="9"/>
        <w:rPr>
          <w:rStyle w:val="5"/>
          <w:rFonts w:hint="eastAsia" w:ascii="宋体" w:hAnsi="宋体" w:eastAsia="宋体" w:cs="宋体"/>
          <w:i w:val="0"/>
          <w:iCs w:val="0"/>
          <w:color w:val="auto"/>
          <w:sz w:val="24"/>
          <w:szCs w:val="24"/>
        </w:rPr>
      </w:pPr>
      <w:r>
        <w:rPr>
          <w:rStyle w:val="5"/>
          <w:rFonts w:hint="eastAsia" w:ascii="宋体" w:hAnsi="宋体" w:eastAsia="宋体" w:cs="宋体"/>
          <w:i w:val="0"/>
          <w:iCs w:val="0"/>
          <w:color w:val="auto"/>
          <w:sz w:val="24"/>
          <w:szCs w:val="24"/>
          <w:lang w:eastAsia="zh-CN"/>
        </w:rPr>
        <w:t>（</w:t>
      </w:r>
      <w:r>
        <w:rPr>
          <w:rStyle w:val="5"/>
          <w:rFonts w:hint="eastAsia" w:ascii="宋体" w:hAnsi="宋体" w:eastAsia="宋体" w:cs="宋体"/>
          <w:i w:val="0"/>
          <w:iCs w:val="0"/>
          <w:color w:val="auto"/>
          <w:sz w:val="24"/>
          <w:szCs w:val="24"/>
        </w:rPr>
        <w:t>四</w:t>
      </w:r>
      <w:r>
        <w:rPr>
          <w:rStyle w:val="5"/>
          <w:rFonts w:hint="eastAsia" w:ascii="宋体" w:hAnsi="宋体" w:eastAsia="宋体" w:cs="宋体"/>
          <w:i w:val="0"/>
          <w:iCs w:val="0"/>
          <w:color w:val="auto"/>
          <w:sz w:val="24"/>
          <w:szCs w:val="24"/>
          <w:lang w:eastAsia="zh-CN"/>
        </w:rPr>
        <w:t>）</w:t>
      </w:r>
      <w:r>
        <w:rPr>
          <w:rStyle w:val="5"/>
          <w:rFonts w:hint="eastAsia" w:ascii="宋体" w:hAnsi="宋体" w:eastAsia="宋体" w:cs="宋体"/>
          <w:i w:val="0"/>
          <w:iCs w:val="0"/>
          <w:color w:val="auto"/>
          <w:sz w:val="24"/>
          <w:szCs w:val="24"/>
        </w:rPr>
        <w:t>预计成效</w:t>
      </w:r>
    </w:p>
    <w:p w14:paraId="2C29ACB8">
      <w:pPr>
        <w:pStyle w:val="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通过RPA技术替代人工完成上述2项固定业务流程，可在效率、成本、质量三大维度实现突破，提升整体运营效能：</w:t>
      </w:r>
    </w:p>
    <w:p w14:paraId="6DB0C215">
      <w:pPr>
        <w:pStyle w:val="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效率提升：缩短无效工时，释放核心人力</w:t>
      </w:r>
    </w:p>
    <w:p w14:paraId="2388066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RPA技术可针对各部门重复操作多、跨系统协同繁琐的痛点，减少人工在系统切换、数据录入、文件整理等环节的耗时，将人力资源从机械性重复工作中解放出来，投入到高价值的核心业务中，具体包括：</w:t>
      </w:r>
    </w:p>
    <w:p w14:paraId="2DCE018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1.系统查询与数据处理效率：无需人工频繁登录多系统，RPA可自动完成系统登录、数据抓取与跨平台同步，减少人工在多系统间切换、手动复制粘贴数据的时间。</w:t>
      </w:r>
    </w:p>
    <w:p w14:paraId="7BF8E41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2.业务执行效率：针对周期性固定工作，RPA可定时触发操作，无需人工记忆执行时间、反复操作，减少业务等待时长。</w:t>
      </w:r>
    </w:p>
    <w:p w14:paraId="44AA8768">
      <w:pPr>
        <w:pStyle w:val="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3.问题响应效率：人工处理业务时，若遇数据偏差需重新核对，需消耗额外时间；RPA可在操作过程中植入校验规则，实时核对数据准确性，减少返工耗时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ab/>
      </w:r>
    </w:p>
    <w:p w14:paraId="0220823E">
      <w:pPr>
        <w:pStyle w:val="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成本降低：减少人力与资源投入，控制运营成本</w:t>
      </w:r>
    </w:p>
    <w:p w14:paraId="48E1B79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通过RPA自动化替代人工重复操作，可减少企业在人力配置、培训、返工等方面的成本投入，优化资源利用效率，具体包括：</w:t>
      </w:r>
    </w:p>
    <w:p w14:paraId="4883C47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1.人工成本：无需为处理重复性工作新增人力，也无需现有员工额外加班处理高频业务，释放的人力可转向高价值工作。</w:t>
      </w:r>
    </w:p>
    <w:p w14:paraId="7208D7C4">
      <w:pPr>
        <w:pStyle w:val="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2.培训成本：新员工无需花费大量时间学习2项固定流程的操作细节，仅需了解RPA操作逻辑与异常处理方式即可，缩短集中培训时长；且RPA操作标准化，无需人工反复指导纠正，减少培训资源的消耗。</w:t>
      </w:r>
    </w:p>
    <w:p w14:paraId="5AD9BAF9">
      <w:pPr>
        <w:pStyle w:val="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质量保障：规避人工误差，提升业务准确性与一致性</w:t>
      </w:r>
    </w:p>
    <w:p w14:paraId="26143DF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RPA 机器人严格按照预设规则执行操作，可有效解决人工录入错误、流程环节遗漏、执行标准不统一等问题：</w:t>
      </w:r>
    </w:p>
    <w:p w14:paraId="6FCF2D0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数据准确性显著提升：动产抵押登记中抵押财产价值录入错误、文件上传遗漏等风险，以及经销商资质查询中企业名称输入错误等问题，均可通过 RPA 自动读取 Excel 数据及流程节点校验机制有效避免。</w:t>
      </w:r>
    </w:p>
    <w:p w14:paraId="31260F7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line="460" w:lineRule="exact"/>
        <w:ind w:firstLine="482" w:firstLineChars="200"/>
        <w:jc w:val="left"/>
        <w:textAlignment w:val="auto"/>
        <w:outlineLvl w:val="9"/>
        <w:rPr>
          <w:rStyle w:val="5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lang w:eastAsia="zh-CN"/>
        </w:rPr>
        <w:t>（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  <w:t>五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lang w:eastAsia="zh-CN"/>
        </w:rPr>
        <w:t>）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  <w:t>软件架构及非功能性需求</w:t>
      </w:r>
    </w:p>
    <w:p w14:paraId="7F4265C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Style w:val="5"/>
          <w:rFonts w:hint="eastAsia" w:ascii="宋体" w:hAnsi="宋体" w:eastAsia="宋体" w:cs="宋体"/>
          <w:i w:val="0"/>
          <w:iCs w:val="0"/>
          <w:color w:val="auto"/>
          <w:sz w:val="24"/>
          <w:szCs w:val="24"/>
          <w:lang w:eastAsia="zh-CN"/>
        </w:rPr>
      </w:pPr>
      <w:r>
        <w:rPr>
          <w:rStyle w:val="5"/>
          <w:rFonts w:hint="eastAsia" w:ascii="宋体" w:hAnsi="宋体" w:eastAsia="宋体" w:cs="宋体"/>
          <w:i w:val="0"/>
          <w:iCs w:val="0"/>
          <w:color w:val="auto"/>
          <w:sz w:val="24"/>
          <w:szCs w:val="24"/>
          <w:lang w:eastAsia="zh-CN"/>
        </w:rPr>
        <w:t>（</w:t>
      </w:r>
      <w:r>
        <w:rPr>
          <w:rStyle w:val="5"/>
          <w:rFonts w:hint="eastAsia" w:ascii="宋体" w:hAnsi="宋体" w:eastAsia="宋体" w:cs="宋体"/>
          <w:i w:val="0"/>
          <w:iCs w:val="0"/>
          <w:color w:val="auto"/>
          <w:sz w:val="24"/>
          <w:szCs w:val="24"/>
          <w:lang w:val="en-US" w:eastAsia="zh-CN"/>
        </w:rPr>
        <w:t>1</w:t>
      </w:r>
      <w:r>
        <w:rPr>
          <w:rStyle w:val="5"/>
          <w:rFonts w:hint="eastAsia" w:ascii="宋体" w:hAnsi="宋体" w:eastAsia="宋体" w:cs="宋体"/>
          <w:i w:val="0"/>
          <w:iCs w:val="0"/>
          <w:color w:val="auto"/>
          <w:sz w:val="24"/>
          <w:szCs w:val="24"/>
          <w:lang w:eastAsia="zh-CN"/>
        </w:rPr>
        <w:t>）软件架构设计</w:t>
      </w:r>
    </w:p>
    <w:p w14:paraId="64E5E4B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平台采用管理端、设计控制端、代理端三层分布式架构，覆盖流程设计、开发调试、任务下发、机器人执行、集中监控、权限管理、审计追溯的全生命周期闭环管理，实现自动化全流程可控可管。</w:t>
      </w:r>
    </w:p>
    <w:p w14:paraId="501B765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1.设计控制端（流程开发核心工具）</w:t>
      </w:r>
    </w:p>
    <w:p w14:paraId="15B774E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作为流程开发与调试的核心载体，核心能力如下：</w:t>
      </w:r>
    </w:p>
    <w:p w14:paraId="23E12FFC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支持图形化拖拽编程+代码编程双模式，兼顾低门槛易用性与个性化深度定制需求；</w:t>
      </w:r>
    </w:p>
    <w:p w14:paraId="6004B2AF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具备操作录制、脚本自动生成与回放能力，内置全功能调试模块（整体、单步、断点调试、变量实时查看），可快速定位解决问题；</w:t>
      </w:r>
    </w:p>
    <w:p w14:paraId="2374C2C6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支持代码片段/组件/脚本复用、子流程调用，满足复杂业务分层开发需求；</w:t>
      </w:r>
    </w:p>
    <w:p w14:paraId="6CC9124E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内置登录认证机制，覆盖代码编写、调试、流程启停、状态监控、异常干预全流程，支持远程开发与管控；</w:t>
      </w:r>
    </w:p>
    <w:p w14:paraId="0A235C11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自带流程脚本版本管理功能，支持版本归档、回溯及源程序差异比对；</w:t>
      </w:r>
    </w:p>
    <w:p w14:paraId="2EA4EB7D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支持对接财司短信发送接口，实现关键事件短信通知。</w:t>
      </w:r>
    </w:p>
    <w:p w14:paraId="6E51BFF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2.代理端（流程执行核心载体）</w:t>
      </w:r>
    </w:p>
    <w:p w14:paraId="48EA5F8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部署于业务终端，负责流程任务的落地执行，核心能力如下：</w:t>
      </w:r>
    </w:p>
    <w:p w14:paraId="5296CBAE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承接管理端下发的操作任务，支持定时触发、人工触发、接口交互触发三种执行模式；</w:t>
      </w:r>
    </w:p>
    <w:p w14:paraId="75830AA7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执行过程自动生成全量运行日志，详细记录执行进度、状态及异常信息；</w:t>
      </w:r>
    </w:p>
    <w:p w14:paraId="2F0E996E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支持本地查看任务列表、执行状态与可运行流程清单；具备锁屏状态下正常执行、按策略自动解锁屏幕的能力，保障任务连续运行；</w:t>
      </w:r>
    </w:p>
    <w:p w14:paraId="3ED244C6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兼容Windows、Linux及国产主流操作系统，可实时向管理端上报执行状态、日志、异常信息及执行录屏，实现执行过程全链路可监控、可追溯。</w:t>
      </w:r>
    </w:p>
    <w:p w14:paraId="7E9981E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3.管理端（平台核心管控中枢）</w:t>
      </w:r>
    </w:p>
    <w:p w14:paraId="04DCC98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作为全平台的集中管控、智能调度与审计核心，核心能力如下：</w:t>
      </w:r>
    </w:p>
    <w:p w14:paraId="117ED0E2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统一管理全平台流程脚本、用户账号及权限体系，实现权限精细化分配与管控；</w:t>
      </w:r>
    </w:p>
    <w:p w14:paraId="48E79A4D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支持任务下发、排队调度与负载均衡，可自动分配空闲代理端执行任务；</w:t>
      </w:r>
    </w:p>
    <w:p w14:paraId="493521D5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支持全周期定时任务配置（按年/月/周/日设置执行周期），同时可随时创建临时任务，适配全场景执行需求；</w:t>
      </w:r>
    </w:p>
    <w:p w14:paraId="3192E80A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具备全维度实时监控能力，可直观展示流程执行状态、执行时长，支持任务取消、删除操作；可实时查看所有代理端运行状态，实现全局管控；</w:t>
      </w:r>
    </w:p>
    <w:p w14:paraId="110D6B59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支持查看代理端运行日志、回放执行录屏，可远程查看代理端桌面运行画面，实现异常快速干预；</w:t>
      </w:r>
    </w:p>
    <w:p w14:paraId="62360EE7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全量留存用户操作日志，支持按操作行为查询与追溯；</w:t>
      </w:r>
    </w:p>
    <w:p w14:paraId="3F2E80FB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left="84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流程执行异常或失败时，可自动触发多渠道告警（站内信、短信、邮件），全量留存系统日志、操作截屏、执行录像，满足审计合规要求。</w:t>
      </w:r>
    </w:p>
    <w:p w14:paraId="4C3200A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非功能性需求</w:t>
      </w:r>
    </w:p>
    <w:p w14:paraId="6446AD4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b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color w:val="auto"/>
          <w:sz w:val="24"/>
          <w:szCs w:val="24"/>
        </w:rPr>
        <w:t>性能要求</w:t>
      </w:r>
    </w:p>
    <w:p w14:paraId="73078ABA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代理端：最低可在2核CPU、4G内存虚拟机运行，兼容Windows、Linux主流操作系统；</w:t>
      </w:r>
    </w:p>
    <w:p w14:paraId="449A757D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设计控制端：最低可在2核CPU、4G内存虚拟机运行，兼容Windows系列操作系统。</w:t>
      </w:r>
    </w:p>
    <w:p w14:paraId="4A3253B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b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color w:val="auto"/>
          <w:sz w:val="24"/>
          <w:szCs w:val="24"/>
        </w:rPr>
        <w:t>稳定性与兼容性</w:t>
      </w:r>
    </w:p>
    <w:p w14:paraId="67BDB06D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平台支持7×24小时连续稳定运行，管理端采用双活部署，保障任一节点故障时业务不中断；</w:t>
      </w:r>
    </w:p>
    <w:p w14:paraId="03755CCF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全面兼容国产化软硬件环境，满足信创建设及后续升级发展需求。</w:t>
      </w:r>
    </w:p>
    <w:p w14:paraId="41CCEFE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b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color w:val="auto"/>
          <w:sz w:val="24"/>
          <w:szCs w:val="24"/>
        </w:rPr>
        <w:t>安全要求</w:t>
      </w:r>
    </w:p>
    <w:p w14:paraId="799CBA84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数据传输与存储采用国产密码算法加密；流程执行全程可控，任意节点可暂停，管理端可直接查看并处理故障节点详情，无需登录代理端；</w:t>
      </w:r>
    </w:p>
    <w:p w14:paraId="164CF1C0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代理端可实时监测终端网络健康状态，异常时及时告警；</w:t>
      </w:r>
    </w:p>
    <w:p w14:paraId="46F9F9C6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支持锁屏运行模式，可配置流程执行时间段、执行次数及节假日规则；</w:t>
      </w:r>
    </w:p>
    <w:p w14:paraId="37575454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支持通过IP网段白名单限制接入设备，筑牢平台接入安全防线。</w:t>
      </w:r>
    </w:p>
    <w:p w14:paraId="1D07801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b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color w:val="auto"/>
          <w:sz w:val="24"/>
          <w:szCs w:val="24"/>
        </w:rPr>
        <w:t>扩展性与易用性要求</w:t>
      </w:r>
    </w:p>
    <w:p w14:paraId="5C51CB8A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扩展性：提供标准接口函数，支持与其他业务系统后台对接、集成调用，满足后续业务扩展与系统互联需求；</w:t>
      </w:r>
    </w:p>
    <w:p w14:paraId="049A8047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易用性：采用全中文图形化操作界面，支持脚本拖拽、操作录像快速生成，易学易用易维护；配套全中文帮助文档、培训资料；维保期内提供持续版本升级服务，支持多模式个性化任务调度。</w:t>
      </w:r>
    </w:p>
    <w:p w14:paraId="14A5365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20"/>
        <w:jc w:val="left"/>
        <w:textAlignment w:val="auto"/>
        <w:rPr>
          <w:rFonts w:hint="eastAsia" w:ascii="宋体" w:hAnsi="宋体" w:eastAsia="宋体" w:cs="宋体"/>
          <w:b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sz w:val="24"/>
          <w:szCs w:val="24"/>
          <w:lang w:val="en-US" w:eastAsia="zh-CN"/>
        </w:rPr>
        <w:t>5.</w:t>
      </w:r>
      <w:r>
        <w:rPr>
          <w:rFonts w:hint="eastAsia" w:ascii="宋体" w:hAnsi="宋体" w:eastAsia="宋体" w:cs="宋体"/>
          <w:b w:val="0"/>
          <w:color w:val="auto"/>
          <w:sz w:val="24"/>
          <w:szCs w:val="24"/>
        </w:rPr>
        <w:t>可维护性要求</w:t>
      </w:r>
    </w:p>
    <w:p w14:paraId="28A0EE8E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平台运行状态可实时监控、管理，运维及管理人员可实时查看运行情况、配置系统参数；可快速调整维护自动化流程，保障业务不间断运行。</w:t>
      </w:r>
    </w:p>
    <w:p w14:paraId="55CB7D6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line="460" w:lineRule="exact"/>
        <w:ind w:firstLine="482" w:firstLineChars="200"/>
        <w:jc w:val="left"/>
        <w:textAlignment w:val="auto"/>
        <w:outlineLvl w:val="9"/>
        <w:rPr>
          <w:rStyle w:val="5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  <w:lang w:val="en-US" w:eastAsia="zh-CN"/>
        </w:rPr>
        <w:t>（六）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4"/>
        </w:rPr>
        <w:t>数据安全需求</w:t>
      </w:r>
    </w:p>
    <w:p w14:paraId="7FC86A3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1.拟处理的数据及其安全级别</w:t>
      </w:r>
    </w:p>
    <w:p w14:paraId="2B77625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依据《数据分类分级制度》，识别</w:t>
      </w:r>
      <w:r>
        <w:rPr>
          <w:rFonts w:hint="eastAsia" w:ascii="宋体" w:hAnsi="宋体" w:eastAsia="宋体" w:cs="宋体"/>
          <w:b w:val="0"/>
          <w:color w:val="auto"/>
          <w:sz w:val="24"/>
          <w:szCs w:val="24"/>
          <w:highlight w:val="none"/>
          <w:lang w:val="en-US" w:eastAsia="zh-CN"/>
        </w:rPr>
        <w:t>智控数据流程自动化平台（RPA）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全流程涉及的数据。</w:t>
      </w:r>
    </w:p>
    <w:tbl>
      <w:tblPr>
        <w:tblStyle w:val="3"/>
        <w:tblW w:w="499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"/>
        <w:gridCol w:w="1072"/>
        <w:gridCol w:w="2325"/>
        <w:gridCol w:w="891"/>
        <w:gridCol w:w="1991"/>
        <w:gridCol w:w="1140"/>
      </w:tblGrid>
      <w:tr w14:paraId="34203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  <w:tblHeader/>
        </w:trPr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 w:val="0"/>
            <w:vAlign w:val="center"/>
          </w:tcPr>
          <w:p w14:paraId="05A7B39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业务子类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 w:val="0"/>
            <w:vAlign w:val="center"/>
          </w:tcPr>
          <w:p w14:paraId="71C61A4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数据资源名称</w:t>
            </w:r>
          </w:p>
        </w:tc>
        <w:tc>
          <w:tcPr>
            <w:tcW w:w="1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 w:val="0"/>
            <w:vAlign w:val="center"/>
          </w:tcPr>
          <w:p w14:paraId="7D99982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内容</w:t>
            </w:r>
          </w:p>
          <w:p w14:paraId="7FDA429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(字段描述)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 w:val="0"/>
            <w:vAlign w:val="center"/>
          </w:tcPr>
          <w:p w14:paraId="40086AE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涉及敏感信息</w:t>
            </w:r>
          </w:p>
        </w:tc>
        <w:tc>
          <w:tcPr>
            <w:tcW w:w="1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 w:val="0"/>
            <w:vAlign w:val="center"/>
          </w:tcPr>
          <w:p w14:paraId="25DC3F4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数据分类分级标准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noWrap w:val="0"/>
            <w:vAlign w:val="center"/>
          </w:tcPr>
          <w:p w14:paraId="1BCC9FD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数据级别</w:t>
            </w:r>
          </w:p>
        </w:tc>
      </w:tr>
      <w:tr w14:paraId="18DAE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64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1B43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单位基本信息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9254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单位基本概况</w:t>
            </w:r>
          </w:p>
        </w:tc>
        <w:tc>
          <w:tcPr>
            <w:tcW w:w="1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67B4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指企业名称、统一社会信用代码、法定代表人、行业分类、经济类型、企业规模、注册资本、 企业地址、经营范围、营业期限、核准日期等。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1EB7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92F1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客户-单位-单位基本信息-单位基本概况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53E0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</w:t>
            </w:r>
          </w:p>
        </w:tc>
      </w:tr>
      <w:tr w14:paraId="2485C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64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C136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29A7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股东信息</w:t>
            </w:r>
          </w:p>
        </w:tc>
        <w:tc>
          <w:tcPr>
            <w:tcW w:w="1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5270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指股东类型、股东名称、累计认缴额、实缴额等。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AB07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427F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客户-单位-单位基本信息-股东信息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681D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</w:t>
            </w:r>
          </w:p>
        </w:tc>
      </w:tr>
      <w:tr w14:paraId="5F3E1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1BCF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单位资讯信息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D6A2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企业工商信息</w:t>
            </w:r>
          </w:p>
        </w:tc>
        <w:tc>
          <w:tcPr>
            <w:tcW w:w="1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7A66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指企业对外投资、分支机构、变更登记信息等。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5F1B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A0B9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客户-单位-单位资讯信息-企业工商信息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21EF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</w:t>
            </w:r>
          </w:p>
        </w:tc>
      </w:tr>
      <w:tr w14:paraId="7DAA3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0F08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合同信息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A70E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最高额抵押车辆明细合同信息</w:t>
            </w:r>
          </w:p>
        </w:tc>
        <w:tc>
          <w:tcPr>
            <w:tcW w:w="1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18BD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抵押人名称、抵押权人名称、抵押物名称、底盘号、价值等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AECD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E507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业务-合约协议-贷款业务信息-抵质押物信息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C0A7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</w:t>
            </w:r>
          </w:p>
        </w:tc>
      </w:tr>
    </w:tbl>
    <w:p w14:paraId="4FFEC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2.访问规则</w:t>
      </w:r>
    </w:p>
    <w:p w14:paraId="227F071D"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集中的用户管理和基于用户名、口令的身份认证。支持HTTPS协议进行身份认证。登录失败后立即结束用户会话。</w:t>
      </w:r>
    </w:p>
    <w:p w14:paraId="43882CB9"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按照最小化原则设置用户和分配权限，按照安全且必要的原则设置合理的用户数量。</w:t>
      </w:r>
    </w:p>
    <w:p w14:paraId="01A8B9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3.保护需求</w:t>
      </w:r>
    </w:p>
    <w:p w14:paraId="009E7515"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服务器与前端控制台、服务器与代理端之间、服务器与备份服务器、服务器与中转服务器之间采用Socket通信协议，对通信数据内容进行加密，可以保证通信双方的有效性确认，后台主机运行时数据在内存中处理，并配置防护进程，可有效防止恶意破坏，保障数据完整性。</w:t>
      </w:r>
    </w:p>
    <w:p w14:paraId="57DE758B"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平台具备完整的应用程序日志功能，发生故障时会自动记录故障时间、涉及模块、代码行号及详细故障原因。</w:t>
      </w:r>
    </w:p>
    <w:p w14:paraId="601BF474"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制定完善的数据备份和恢复策略，定期进行全量或增量备份。</w:t>
      </w:r>
    </w:p>
    <w:p w14:paraId="7471F11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所有数据操作均留存详细</w:t>
      </w:r>
      <w:bookmarkStart w:id="5" w:name="_GoBack"/>
      <w:bookmarkEnd w:id="5"/>
      <w:r>
        <w:rPr>
          <w:rFonts w:hint="eastAsia" w:ascii="宋体" w:hAnsi="宋体" w:eastAsia="宋体" w:cs="宋体"/>
          <w:color w:val="auto"/>
          <w:sz w:val="24"/>
          <w:szCs w:val="24"/>
        </w:rPr>
        <w:t>操作日志，日志内容包括操作时间、操作人员、操作类型、涉及数据内容等，日志保存期限不少于6个月。</w:t>
      </w:r>
    </w:p>
    <w:p w14:paraId="1A5EC21C">
      <w:r>
        <w:rPr>
          <w:rFonts w:hint="eastAsia" w:ascii="宋体" w:hAnsi="宋体"/>
          <w:b/>
          <w:sz w:val="24"/>
        </w:rPr>
        <w:t>注：以上“技术要求”为实质性要求，必须完全满足，否则响应无效。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B5A72B"/>
    <w:multiLevelType w:val="multilevel"/>
    <w:tmpl w:val="08B5A72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">
    <w:nsid w:val="1AED720C"/>
    <w:multiLevelType w:val="singleLevel"/>
    <w:tmpl w:val="1AED720C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4F5D9C"/>
    <w:rsid w:val="6F4F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500" w:lineRule="exact"/>
      <w:jc w:val="center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不明显强调1"/>
    <w:basedOn w:val="4"/>
    <w:qFormat/>
    <w:uiPriority w:val="19"/>
    <w:rPr>
      <w:i/>
      <w:iCs/>
      <w:color w:val="3F3F3F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2026-08-05T08:57:00Z</dcterms:created>
  <dc:creator>admin</dc:creator>
  <cp:lastModifiedBy>admin</cp:lastModifiedBy>
  <dcterms:modified xsi:type="dcterms:W3CDTF">2026-08-05T08:57:36Z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5D2012BA70694FBA95969DD5B983CF13_11</vt:lpwstr>
  </property>
  <property fmtid="{D5CDD505-2E9C-101B-9397-08002B2CF9AE}" pid="4" name="KSOTemplateDocerSaveRecord">
    <vt:lpwstr>eyJoZGlkIjoiYzA3ZGNiZWNmNzhmMDhkNjQ2MTRmOTUyZWY2Yjc5ZGMiLCJ1c2VySWQiOiIyODQ3NjAxNjYifQ==</vt:lpwstr>
  </property>
</Properties>
</file>