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0289A">
      <w:pPr>
        <w:spacing w:line="460" w:lineRule="exact"/>
        <w:rPr>
          <w:rFonts w:asciiTheme="majorEastAsia" w:hAnsiTheme="majorEastAsia" w:eastAsiaTheme="majorEastAsia"/>
          <w:b/>
          <w:sz w:val="24"/>
          <w:szCs w:val="24"/>
        </w:rPr>
      </w:pPr>
      <w:r>
        <w:rPr>
          <w:rFonts w:hint="eastAsia" w:asciiTheme="majorEastAsia" w:hAnsiTheme="majorEastAsia" w:eastAsiaTheme="majorEastAsia"/>
          <w:b/>
          <w:sz w:val="24"/>
          <w:szCs w:val="24"/>
        </w:rPr>
        <w:t>一、项目概况</w:t>
      </w:r>
    </w:p>
    <w:tbl>
      <w:tblPr>
        <w:tblStyle w:val="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81"/>
        <w:gridCol w:w="8235"/>
      </w:tblGrid>
      <w:tr w14:paraId="14F5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 w:hRule="atLeast"/>
          <w:jc w:val="center"/>
        </w:trPr>
        <w:tc>
          <w:tcPr>
            <w:tcW w:w="532" w:type="pct"/>
            <w:vAlign w:val="center"/>
          </w:tcPr>
          <w:p w14:paraId="3CDA69FA">
            <w:pPr>
              <w:spacing w:line="46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项目名称</w:t>
            </w:r>
          </w:p>
        </w:tc>
        <w:tc>
          <w:tcPr>
            <w:tcW w:w="4467" w:type="pct"/>
            <w:vAlign w:val="center"/>
          </w:tcPr>
          <w:p w14:paraId="09EB325B">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江西南大国创院食品科技有限公司电梯维修保养服务采购项目</w:t>
            </w:r>
          </w:p>
        </w:tc>
      </w:tr>
      <w:tr w14:paraId="2E76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2" w:type="pct"/>
            <w:vAlign w:val="center"/>
          </w:tcPr>
          <w:p w14:paraId="5E2A076B">
            <w:pPr>
              <w:spacing w:line="46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预算金额</w:t>
            </w:r>
          </w:p>
        </w:tc>
        <w:tc>
          <w:tcPr>
            <w:tcW w:w="4467" w:type="pct"/>
            <w:vAlign w:val="center"/>
          </w:tcPr>
          <w:p w14:paraId="5706BF5E">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64800.00元</w:t>
            </w:r>
          </w:p>
        </w:tc>
      </w:tr>
      <w:tr w14:paraId="6AC0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2" w:type="pct"/>
            <w:vAlign w:val="center"/>
          </w:tcPr>
          <w:p w14:paraId="35AD50FC">
            <w:pPr>
              <w:spacing w:line="460" w:lineRule="exact"/>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服务要求</w:t>
            </w:r>
          </w:p>
        </w:tc>
        <w:tc>
          <w:tcPr>
            <w:tcW w:w="4467" w:type="pct"/>
            <w:vAlign w:val="center"/>
          </w:tcPr>
          <w:p w14:paraId="60D2A4C4">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杭州西奥电梯维保服务采购，数量18台，服务期壹年。</w:t>
            </w:r>
          </w:p>
        </w:tc>
      </w:tr>
    </w:tbl>
    <w:p w14:paraId="79A3EAED">
      <w:pPr>
        <w:spacing w:line="460" w:lineRule="exact"/>
        <w:rPr>
          <w:rFonts w:asciiTheme="majorEastAsia" w:hAnsiTheme="majorEastAsia" w:eastAsiaTheme="majorEastAsia"/>
          <w:b/>
          <w:sz w:val="24"/>
          <w:szCs w:val="24"/>
        </w:rPr>
      </w:pPr>
      <w:r>
        <w:rPr>
          <w:rFonts w:hint="eastAsia" w:asciiTheme="majorEastAsia" w:hAnsiTheme="majorEastAsia" w:eastAsiaTheme="majorEastAsia"/>
          <w:b/>
          <w:sz w:val="24"/>
          <w:szCs w:val="24"/>
        </w:rPr>
        <w:t>二、技术要求</w:t>
      </w:r>
    </w:p>
    <w:p w14:paraId="1AF3BD89">
      <w:pPr>
        <w:spacing w:line="460" w:lineRule="exact"/>
        <w:rPr>
          <w:rFonts w:asciiTheme="majorEastAsia" w:hAnsiTheme="majorEastAsia" w:eastAsiaTheme="majorEastAsia"/>
          <w:b/>
          <w:sz w:val="24"/>
          <w:szCs w:val="24"/>
        </w:rPr>
      </w:pPr>
      <w:r>
        <w:rPr>
          <w:rFonts w:hint="eastAsia" w:asciiTheme="majorEastAsia" w:hAnsiTheme="majorEastAsia" w:eastAsiaTheme="majorEastAsia"/>
          <w:b/>
          <w:sz w:val="24"/>
          <w:szCs w:val="24"/>
        </w:rPr>
        <w:t>1、电梯日常维护保养的服务内容和范围：</w:t>
      </w:r>
    </w:p>
    <w:p w14:paraId="2D476171">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1.1日常维护保养项目(内容)和要求</w:t>
      </w:r>
    </w:p>
    <w:p w14:paraId="49FD36A3">
      <w:pPr>
        <w:spacing w:line="460" w:lineRule="exact"/>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每15天1次根据国家有关的技术规范和供应商的保养工艺要求与服务规范对电梯设备进行保养。维保日期遇公休日的，应在公休日前的最后一个工作日完成维保工作。并按实际维保日往后计算15日确定下一次维保日期，维保时间间隔不得超过15日。</w:t>
      </w:r>
    </w:p>
    <w:p w14:paraId="08B6A4CC">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1.2日常维护保养时间</w:t>
      </w:r>
    </w:p>
    <w:p w14:paraId="3971753F">
      <w:pPr>
        <w:spacing w:line="460" w:lineRule="exact"/>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在非公休假日上午八时至下午五时内。</w:t>
      </w:r>
    </w:p>
    <w:p w14:paraId="7A74A4DA">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1.3召修</w:t>
      </w:r>
    </w:p>
    <w:p w14:paraId="50756FC8">
      <w:pPr>
        <w:spacing w:line="460" w:lineRule="exact"/>
        <w:ind w:firstLine="480" w:firstLineChars="200"/>
        <w:rPr>
          <w:rFonts w:asciiTheme="majorEastAsia" w:hAnsiTheme="majorEastAsia" w:eastAsiaTheme="majorEastAsia"/>
          <w:sz w:val="24"/>
          <w:szCs w:val="24"/>
        </w:rPr>
      </w:pPr>
      <w:r>
        <w:rPr>
          <w:rFonts w:hint="eastAsia" w:asciiTheme="majorEastAsia" w:hAnsiTheme="majorEastAsia" w:eastAsiaTheme="majorEastAsia"/>
          <w:sz w:val="24"/>
          <w:szCs w:val="24"/>
        </w:rPr>
        <w:t>供应商提供电梯的日常召修、应急故障处理服务。</w:t>
      </w:r>
    </w:p>
    <w:p w14:paraId="7EC52264">
      <w:pPr>
        <w:spacing w:line="460" w:lineRule="exact"/>
        <w:rPr>
          <w:rFonts w:asciiTheme="majorEastAsia" w:hAnsiTheme="majorEastAsia" w:eastAsiaTheme="majorEastAsia"/>
          <w:sz w:val="24"/>
          <w:szCs w:val="24"/>
        </w:rPr>
      </w:pPr>
      <w:r>
        <w:rPr>
          <w:rFonts w:hint="eastAsia" w:asciiTheme="majorEastAsia" w:hAnsiTheme="majorEastAsia" w:eastAsiaTheme="majorEastAsia"/>
          <w:b/>
          <w:bCs/>
          <w:sz w:val="24"/>
          <w:szCs w:val="24"/>
        </w:rPr>
        <w:t>2、</w:t>
      </w:r>
      <w:r>
        <w:rPr>
          <w:rFonts w:asciiTheme="majorEastAsia" w:hAnsiTheme="majorEastAsia" w:eastAsiaTheme="majorEastAsia"/>
          <w:b/>
          <w:bCs/>
          <w:sz w:val="24"/>
          <w:szCs w:val="24"/>
        </w:rPr>
        <w:t>日常维护保养的电梯</w:t>
      </w:r>
    </w:p>
    <w:p w14:paraId="69853E2F">
      <w:pPr>
        <w:spacing w:line="460" w:lineRule="exact"/>
        <w:ind w:firstLine="480" w:firstLineChars="200"/>
        <w:rPr>
          <w:rFonts w:asciiTheme="majorEastAsia" w:hAnsiTheme="majorEastAsia" w:eastAsiaTheme="majorEastAsia"/>
          <w:sz w:val="24"/>
          <w:szCs w:val="24"/>
        </w:rPr>
      </w:pPr>
      <w:r>
        <w:rPr>
          <w:rFonts w:asciiTheme="majorEastAsia" w:hAnsiTheme="majorEastAsia" w:eastAsiaTheme="majorEastAsia"/>
          <w:sz w:val="24"/>
          <w:szCs w:val="24"/>
        </w:rPr>
        <w:t>由</w:t>
      </w:r>
      <w:r>
        <w:rPr>
          <w:rFonts w:hint="eastAsia" w:asciiTheme="majorEastAsia" w:hAnsiTheme="majorEastAsia" w:eastAsiaTheme="majorEastAsia"/>
          <w:sz w:val="24"/>
          <w:szCs w:val="24"/>
        </w:rPr>
        <w:t>供应商</w:t>
      </w:r>
      <w:r>
        <w:rPr>
          <w:rFonts w:asciiTheme="majorEastAsia" w:hAnsiTheme="majorEastAsia" w:eastAsiaTheme="majorEastAsia"/>
          <w:sz w:val="24"/>
          <w:szCs w:val="24"/>
        </w:rPr>
        <w:t>为下表</w:t>
      </w:r>
      <w:r>
        <w:rPr>
          <w:rFonts w:hint="eastAsia" w:asciiTheme="majorEastAsia" w:hAnsiTheme="majorEastAsia" w:eastAsiaTheme="majorEastAsia"/>
          <w:sz w:val="24"/>
          <w:szCs w:val="24"/>
        </w:rPr>
        <w:t>采购人</w:t>
      </w:r>
      <w:r>
        <w:rPr>
          <w:rFonts w:asciiTheme="majorEastAsia" w:hAnsiTheme="majorEastAsia" w:eastAsiaTheme="majorEastAsia"/>
          <w:sz w:val="24"/>
          <w:szCs w:val="24"/>
        </w:rPr>
        <w:t>使用、管理的电梯(包括扶梯/人行道)提供日常维护保养和急修服务。</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4"/>
        <w:gridCol w:w="1735"/>
        <w:gridCol w:w="1565"/>
        <w:gridCol w:w="2092"/>
        <w:gridCol w:w="1259"/>
        <w:gridCol w:w="1257"/>
        <w:gridCol w:w="696"/>
      </w:tblGrid>
      <w:tr w14:paraId="0F29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3" w:type="pct"/>
            <w:vAlign w:val="center"/>
          </w:tcPr>
          <w:p w14:paraId="0C02BC31">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梯号</w:t>
            </w:r>
          </w:p>
        </w:tc>
        <w:tc>
          <w:tcPr>
            <w:tcW w:w="941" w:type="pct"/>
            <w:vAlign w:val="center"/>
          </w:tcPr>
          <w:p w14:paraId="03A7D53D">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新设备合同号</w:t>
            </w:r>
          </w:p>
        </w:tc>
        <w:tc>
          <w:tcPr>
            <w:tcW w:w="849" w:type="pct"/>
            <w:vAlign w:val="center"/>
          </w:tcPr>
          <w:p w14:paraId="5431DA05">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梯型</w:t>
            </w:r>
          </w:p>
        </w:tc>
        <w:tc>
          <w:tcPr>
            <w:tcW w:w="1135" w:type="pct"/>
            <w:vAlign w:val="center"/>
          </w:tcPr>
          <w:p w14:paraId="14390683">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层/站提升高度（M）</w:t>
            </w:r>
          </w:p>
        </w:tc>
        <w:tc>
          <w:tcPr>
            <w:tcW w:w="683" w:type="pct"/>
            <w:vAlign w:val="center"/>
          </w:tcPr>
          <w:p w14:paraId="23DA31FE">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载重（Kg）</w:t>
            </w:r>
          </w:p>
        </w:tc>
        <w:tc>
          <w:tcPr>
            <w:tcW w:w="682" w:type="pct"/>
            <w:vAlign w:val="center"/>
          </w:tcPr>
          <w:p w14:paraId="427C9517">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速度（</w:t>
            </w:r>
            <w:r>
              <w:rPr>
                <w:rFonts w:asciiTheme="majorEastAsia" w:hAnsiTheme="majorEastAsia" w:eastAsiaTheme="majorEastAsia"/>
                <w:sz w:val="24"/>
                <w:szCs w:val="24"/>
                <w:lang w:eastAsia="zh-CN"/>
              </w:rPr>
              <w:t>M/S</w:t>
            </w:r>
            <w:r>
              <w:rPr>
                <w:rFonts w:hint="eastAsia" w:asciiTheme="majorEastAsia" w:hAnsiTheme="majorEastAsia" w:eastAsiaTheme="majorEastAsia"/>
                <w:sz w:val="24"/>
                <w:szCs w:val="24"/>
                <w:lang w:eastAsia="zh-CN"/>
              </w:rPr>
              <w:t>）</w:t>
            </w:r>
          </w:p>
        </w:tc>
        <w:tc>
          <w:tcPr>
            <w:tcW w:w="378" w:type="pct"/>
            <w:vAlign w:val="center"/>
          </w:tcPr>
          <w:p w14:paraId="42B9C278">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台数</w:t>
            </w:r>
          </w:p>
        </w:tc>
      </w:tr>
      <w:tr w14:paraId="3519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3" w:type="pct"/>
            <w:vAlign w:val="center"/>
          </w:tcPr>
          <w:p w14:paraId="2FB727CA">
            <w:pPr>
              <w:pStyle w:val="5"/>
              <w:widowControl w:val="0"/>
              <w:spacing w:line="460" w:lineRule="exact"/>
              <w:ind w:firstLine="0" w:firstLineChars="0"/>
              <w:jc w:val="center"/>
              <w:rPr>
                <w:rFonts w:asciiTheme="majorEastAsia" w:hAnsiTheme="majorEastAsia" w:eastAsiaTheme="majorEastAsia"/>
                <w:sz w:val="24"/>
                <w:szCs w:val="24"/>
                <w:lang w:eastAsia="zh-CN"/>
              </w:rPr>
            </w:pPr>
          </w:p>
        </w:tc>
        <w:tc>
          <w:tcPr>
            <w:tcW w:w="941" w:type="pct"/>
            <w:vAlign w:val="center"/>
          </w:tcPr>
          <w:p w14:paraId="5D1CD1AC">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XODTF80744-49</w:t>
            </w:r>
          </w:p>
        </w:tc>
        <w:tc>
          <w:tcPr>
            <w:tcW w:w="849" w:type="pct"/>
            <w:vAlign w:val="center"/>
          </w:tcPr>
          <w:p w14:paraId="266E7B82">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w:t>
            </w:r>
            <w:r>
              <w:rPr>
                <w:rFonts w:hint="eastAsia" w:asciiTheme="majorEastAsia" w:hAnsiTheme="majorEastAsia" w:eastAsiaTheme="majorEastAsia"/>
                <w:sz w:val="24"/>
                <w:szCs w:val="24"/>
                <w:lang w:eastAsia="zh-CN"/>
              </w:rPr>
              <w:t>O</w:t>
            </w:r>
            <w:r>
              <w:rPr>
                <w:rFonts w:asciiTheme="majorEastAsia" w:hAnsiTheme="majorEastAsia" w:eastAsiaTheme="majorEastAsia"/>
                <w:sz w:val="24"/>
                <w:szCs w:val="24"/>
                <w:lang w:eastAsia="zh-CN"/>
              </w:rPr>
              <w:t>-HTVF</w:t>
            </w:r>
          </w:p>
        </w:tc>
        <w:tc>
          <w:tcPr>
            <w:tcW w:w="1135" w:type="pct"/>
            <w:vAlign w:val="center"/>
          </w:tcPr>
          <w:p w14:paraId="2F8A8A90">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2/2/2</w:t>
            </w:r>
          </w:p>
        </w:tc>
        <w:tc>
          <w:tcPr>
            <w:tcW w:w="683" w:type="pct"/>
            <w:vAlign w:val="center"/>
          </w:tcPr>
          <w:p w14:paraId="4D8D264E">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1600</w:t>
            </w:r>
          </w:p>
        </w:tc>
        <w:tc>
          <w:tcPr>
            <w:tcW w:w="682" w:type="pct"/>
            <w:vAlign w:val="center"/>
          </w:tcPr>
          <w:p w14:paraId="6FC451E5">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0.5</w:t>
            </w:r>
          </w:p>
        </w:tc>
        <w:tc>
          <w:tcPr>
            <w:tcW w:w="378" w:type="pct"/>
            <w:vAlign w:val="center"/>
          </w:tcPr>
          <w:p w14:paraId="4D9F21EF">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6</w:t>
            </w:r>
          </w:p>
        </w:tc>
      </w:tr>
      <w:tr w14:paraId="26CD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3" w:type="pct"/>
            <w:vAlign w:val="center"/>
          </w:tcPr>
          <w:p w14:paraId="6F91E25C">
            <w:pPr>
              <w:pStyle w:val="5"/>
              <w:widowControl w:val="0"/>
              <w:spacing w:line="460" w:lineRule="exact"/>
              <w:ind w:firstLine="0" w:firstLineChars="0"/>
              <w:jc w:val="center"/>
              <w:rPr>
                <w:rFonts w:asciiTheme="majorEastAsia" w:hAnsiTheme="majorEastAsia" w:eastAsiaTheme="majorEastAsia"/>
                <w:sz w:val="24"/>
                <w:szCs w:val="24"/>
                <w:lang w:eastAsia="zh-CN"/>
              </w:rPr>
            </w:pPr>
          </w:p>
        </w:tc>
        <w:tc>
          <w:tcPr>
            <w:tcW w:w="941" w:type="pct"/>
            <w:vAlign w:val="center"/>
          </w:tcPr>
          <w:p w14:paraId="70B21F2F">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XODTF80750</w:t>
            </w:r>
          </w:p>
        </w:tc>
        <w:tc>
          <w:tcPr>
            <w:tcW w:w="849" w:type="pct"/>
            <w:vAlign w:val="center"/>
          </w:tcPr>
          <w:p w14:paraId="0922648E">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XO-HTVF</w:t>
            </w:r>
          </w:p>
        </w:tc>
        <w:tc>
          <w:tcPr>
            <w:tcW w:w="1135" w:type="pct"/>
            <w:vAlign w:val="center"/>
          </w:tcPr>
          <w:p w14:paraId="5B8679D9">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3/3/3</w:t>
            </w:r>
          </w:p>
        </w:tc>
        <w:tc>
          <w:tcPr>
            <w:tcW w:w="683" w:type="pct"/>
            <w:vAlign w:val="center"/>
          </w:tcPr>
          <w:p w14:paraId="00C18E22">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1600</w:t>
            </w:r>
          </w:p>
        </w:tc>
        <w:tc>
          <w:tcPr>
            <w:tcW w:w="682" w:type="pct"/>
            <w:vAlign w:val="center"/>
          </w:tcPr>
          <w:p w14:paraId="13476A92">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0.5</w:t>
            </w:r>
          </w:p>
        </w:tc>
        <w:tc>
          <w:tcPr>
            <w:tcW w:w="378" w:type="pct"/>
            <w:vAlign w:val="center"/>
          </w:tcPr>
          <w:p w14:paraId="23FA1583">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p>
        </w:tc>
      </w:tr>
      <w:tr w14:paraId="44E0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 w:hRule="atLeast"/>
        </w:trPr>
        <w:tc>
          <w:tcPr>
            <w:tcW w:w="333" w:type="pct"/>
            <w:vAlign w:val="center"/>
          </w:tcPr>
          <w:p w14:paraId="1074840D">
            <w:pPr>
              <w:pStyle w:val="5"/>
              <w:widowControl w:val="0"/>
              <w:spacing w:line="460" w:lineRule="exact"/>
              <w:ind w:firstLine="0" w:firstLineChars="0"/>
              <w:jc w:val="center"/>
              <w:rPr>
                <w:rFonts w:asciiTheme="majorEastAsia" w:hAnsiTheme="majorEastAsia" w:eastAsiaTheme="majorEastAsia"/>
                <w:sz w:val="24"/>
                <w:szCs w:val="24"/>
                <w:lang w:eastAsia="zh-CN"/>
              </w:rPr>
            </w:pPr>
          </w:p>
        </w:tc>
        <w:tc>
          <w:tcPr>
            <w:tcW w:w="941" w:type="pct"/>
            <w:vAlign w:val="center"/>
          </w:tcPr>
          <w:p w14:paraId="278074DF">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XODTF80751</w:t>
            </w:r>
          </w:p>
        </w:tc>
        <w:tc>
          <w:tcPr>
            <w:tcW w:w="849" w:type="pct"/>
            <w:vAlign w:val="center"/>
          </w:tcPr>
          <w:p w14:paraId="59EF98DE">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XO-REZO(MRL)</w:t>
            </w:r>
          </w:p>
        </w:tc>
        <w:tc>
          <w:tcPr>
            <w:tcW w:w="1135" w:type="pct"/>
            <w:vAlign w:val="center"/>
          </w:tcPr>
          <w:p w14:paraId="3FFAF25C">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2/2/2</w:t>
            </w:r>
          </w:p>
        </w:tc>
        <w:tc>
          <w:tcPr>
            <w:tcW w:w="683" w:type="pct"/>
            <w:vAlign w:val="center"/>
          </w:tcPr>
          <w:p w14:paraId="544160E5">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680</w:t>
            </w:r>
          </w:p>
        </w:tc>
        <w:tc>
          <w:tcPr>
            <w:tcW w:w="682" w:type="pct"/>
            <w:vAlign w:val="center"/>
          </w:tcPr>
          <w:p w14:paraId="6EDE470D">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p>
        </w:tc>
        <w:tc>
          <w:tcPr>
            <w:tcW w:w="378" w:type="pct"/>
            <w:vAlign w:val="center"/>
          </w:tcPr>
          <w:p w14:paraId="6DC74DCA">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p>
        </w:tc>
      </w:tr>
      <w:tr w14:paraId="52B4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3" w:type="pct"/>
            <w:vAlign w:val="center"/>
          </w:tcPr>
          <w:p w14:paraId="66E2C8E6">
            <w:pPr>
              <w:pStyle w:val="5"/>
              <w:widowControl w:val="0"/>
              <w:spacing w:line="460" w:lineRule="exact"/>
              <w:ind w:firstLine="0" w:firstLineChars="0"/>
              <w:jc w:val="center"/>
              <w:rPr>
                <w:rFonts w:asciiTheme="majorEastAsia" w:hAnsiTheme="majorEastAsia" w:eastAsiaTheme="majorEastAsia"/>
                <w:sz w:val="24"/>
                <w:szCs w:val="24"/>
                <w:lang w:eastAsia="zh-CN"/>
              </w:rPr>
            </w:pPr>
          </w:p>
        </w:tc>
        <w:tc>
          <w:tcPr>
            <w:tcW w:w="941" w:type="pct"/>
            <w:vAlign w:val="center"/>
          </w:tcPr>
          <w:p w14:paraId="01596E72">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XODTF80752-53</w:t>
            </w:r>
          </w:p>
        </w:tc>
        <w:tc>
          <w:tcPr>
            <w:tcW w:w="849" w:type="pct"/>
            <w:vAlign w:val="center"/>
          </w:tcPr>
          <w:p w14:paraId="0F3FD3B1">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XO-CONIII</w:t>
            </w:r>
          </w:p>
        </w:tc>
        <w:tc>
          <w:tcPr>
            <w:tcW w:w="1135" w:type="pct"/>
            <w:vAlign w:val="center"/>
          </w:tcPr>
          <w:p w14:paraId="45594A09">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10/10/10</w:t>
            </w:r>
          </w:p>
        </w:tc>
        <w:tc>
          <w:tcPr>
            <w:tcW w:w="683" w:type="pct"/>
            <w:vAlign w:val="center"/>
          </w:tcPr>
          <w:p w14:paraId="09061D77">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1350</w:t>
            </w:r>
          </w:p>
        </w:tc>
        <w:tc>
          <w:tcPr>
            <w:tcW w:w="682" w:type="pct"/>
            <w:vAlign w:val="center"/>
          </w:tcPr>
          <w:p w14:paraId="009622E3">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1.5</w:t>
            </w:r>
          </w:p>
        </w:tc>
        <w:tc>
          <w:tcPr>
            <w:tcW w:w="378" w:type="pct"/>
            <w:vAlign w:val="center"/>
          </w:tcPr>
          <w:p w14:paraId="3D3EB8D1">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p>
        </w:tc>
      </w:tr>
      <w:tr w14:paraId="667C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3" w:type="pct"/>
            <w:vAlign w:val="center"/>
          </w:tcPr>
          <w:p w14:paraId="5EB1404C">
            <w:pPr>
              <w:pStyle w:val="5"/>
              <w:widowControl w:val="0"/>
              <w:spacing w:line="460" w:lineRule="exact"/>
              <w:ind w:firstLine="0" w:firstLineChars="0"/>
              <w:jc w:val="center"/>
              <w:rPr>
                <w:rFonts w:asciiTheme="majorEastAsia" w:hAnsiTheme="majorEastAsia" w:eastAsiaTheme="majorEastAsia"/>
                <w:sz w:val="24"/>
                <w:szCs w:val="24"/>
                <w:lang w:eastAsia="zh-CN"/>
              </w:rPr>
            </w:pPr>
          </w:p>
        </w:tc>
        <w:tc>
          <w:tcPr>
            <w:tcW w:w="941" w:type="pct"/>
            <w:vAlign w:val="center"/>
          </w:tcPr>
          <w:p w14:paraId="6012DB69">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XODTF80754-55</w:t>
            </w:r>
          </w:p>
        </w:tc>
        <w:tc>
          <w:tcPr>
            <w:tcW w:w="849" w:type="pct"/>
            <w:vAlign w:val="center"/>
          </w:tcPr>
          <w:p w14:paraId="21B032F4">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XO-REZOII</w:t>
            </w:r>
          </w:p>
        </w:tc>
        <w:tc>
          <w:tcPr>
            <w:tcW w:w="1135" w:type="pct"/>
            <w:vAlign w:val="center"/>
          </w:tcPr>
          <w:p w14:paraId="1322F7BE">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10/10/10</w:t>
            </w:r>
          </w:p>
        </w:tc>
        <w:tc>
          <w:tcPr>
            <w:tcW w:w="683" w:type="pct"/>
            <w:vAlign w:val="center"/>
          </w:tcPr>
          <w:p w14:paraId="6B236EFD">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1050</w:t>
            </w:r>
          </w:p>
        </w:tc>
        <w:tc>
          <w:tcPr>
            <w:tcW w:w="682" w:type="pct"/>
            <w:vAlign w:val="center"/>
          </w:tcPr>
          <w:p w14:paraId="4E3EE2A7">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1.5</w:t>
            </w:r>
          </w:p>
        </w:tc>
        <w:tc>
          <w:tcPr>
            <w:tcW w:w="378" w:type="pct"/>
            <w:vAlign w:val="center"/>
          </w:tcPr>
          <w:p w14:paraId="19FF1D32">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p>
        </w:tc>
      </w:tr>
      <w:tr w14:paraId="281C0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3" w:type="pct"/>
            <w:vAlign w:val="center"/>
          </w:tcPr>
          <w:p w14:paraId="024D847D">
            <w:pPr>
              <w:pStyle w:val="5"/>
              <w:widowControl w:val="0"/>
              <w:spacing w:line="460" w:lineRule="exact"/>
              <w:ind w:firstLine="0" w:firstLineChars="0"/>
              <w:jc w:val="center"/>
              <w:rPr>
                <w:rFonts w:asciiTheme="majorEastAsia" w:hAnsiTheme="majorEastAsia" w:eastAsiaTheme="majorEastAsia"/>
                <w:sz w:val="24"/>
                <w:szCs w:val="24"/>
                <w:lang w:eastAsia="zh-CN"/>
              </w:rPr>
            </w:pPr>
          </w:p>
        </w:tc>
        <w:tc>
          <w:tcPr>
            <w:tcW w:w="941" w:type="pct"/>
            <w:vAlign w:val="center"/>
          </w:tcPr>
          <w:p w14:paraId="204E6C44">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XODTF80756-59</w:t>
            </w:r>
          </w:p>
        </w:tc>
        <w:tc>
          <w:tcPr>
            <w:tcW w:w="849" w:type="pct"/>
            <w:vAlign w:val="center"/>
          </w:tcPr>
          <w:p w14:paraId="41A31641">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XO-CONIII</w:t>
            </w:r>
          </w:p>
        </w:tc>
        <w:tc>
          <w:tcPr>
            <w:tcW w:w="1135" w:type="pct"/>
            <w:vAlign w:val="center"/>
          </w:tcPr>
          <w:p w14:paraId="30EB9A96">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11/11/11</w:t>
            </w:r>
          </w:p>
        </w:tc>
        <w:tc>
          <w:tcPr>
            <w:tcW w:w="683" w:type="pct"/>
            <w:vAlign w:val="center"/>
          </w:tcPr>
          <w:p w14:paraId="587540FF">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1350</w:t>
            </w:r>
          </w:p>
        </w:tc>
        <w:tc>
          <w:tcPr>
            <w:tcW w:w="682" w:type="pct"/>
            <w:vAlign w:val="center"/>
          </w:tcPr>
          <w:p w14:paraId="7A0CB2AA">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1.5</w:t>
            </w:r>
          </w:p>
        </w:tc>
        <w:tc>
          <w:tcPr>
            <w:tcW w:w="378" w:type="pct"/>
            <w:vAlign w:val="center"/>
          </w:tcPr>
          <w:p w14:paraId="67BCF316">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w:t>
            </w:r>
          </w:p>
        </w:tc>
      </w:tr>
      <w:tr w14:paraId="4580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3" w:type="pct"/>
            <w:vAlign w:val="center"/>
          </w:tcPr>
          <w:p w14:paraId="35685DFB">
            <w:pPr>
              <w:pStyle w:val="5"/>
              <w:widowControl w:val="0"/>
              <w:spacing w:line="460" w:lineRule="exact"/>
              <w:ind w:firstLine="0" w:firstLineChars="0"/>
              <w:jc w:val="center"/>
              <w:rPr>
                <w:rFonts w:asciiTheme="majorEastAsia" w:hAnsiTheme="majorEastAsia" w:eastAsiaTheme="majorEastAsia"/>
                <w:sz w:val="24"/>
                <w:szCs w:val="24"/>
                <w:lang w:eastAsia="zh-CN"/>
              </w:rPr>
            </w:pPr>
          </w:p>
        </w:tc>
        <w:tc>
          <w:tcPr>
            <w:tcW w:w="941" w:type="pct"/>
            <w:vAlign w:val="center"/>
          </w:tcPr>
          <w:p w14:paraId="4DF30306">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XODTF80760</w:t>
            </w:r>
          </w:p>
        </w:tc>
        <w:tc>
          <w:tcPr>
            <w:tcW w:w="849" w:type="pct"/>
            <w:vAlign w:val="center"/>
          </w:tcPr>
          <w:p w14:paraId="039307A8">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XО-HTVF</w:t>
            </w:r>
          </w:p>
        </w:tc>
        <w:tc>
          <w:tcPr>
            <w:tcW w:w="1135" w:type="pct"/>
            <w:vAlign w:val="center"/>
          </w:tcPr>
          <w:p w14:paraId="5E7CB409">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11/11/11</w:t>
            </w:r>
          </w:p>
        </w:tc>
        <w:tc>
          <w:tcPr>
            <w:tcW w:w="683" w:type="pct"/>
            <w:vAlign w:val="center"/>
          </w:tcPr>
          <w:p w14:paraId="2AFF3270">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2000</w:t>
            </w:r>
          </w:p>
        </w:tc>
        <w:tc>
          <w:tcPr>
            <w:tcW w:w="682" w:type="pct"/>
            <w:vAlign w:val="center"/>
          </w:tcPr>
          <w:p w14:paraId="545FDEB4">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p>
        </w:tc>
        <w:tc>
          <w:tcPr>
            <w:tcW w:w="378" w:type="pct"/>
            <w:vAlign w:val="center"/>
          </w:tcPr>
          <w:p w14:paraId="1ABB31FC">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p>
        </w:tc>
      </w:tr>
      <w:tr w14:paraId="079B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3" w:type="pct"/>
            <w:vAlign w:val="center"/>
          </w:tcPr>
          <w:p w14:paraId="22C82908">
            <w:pPr>
              <w:pStyle w:val="5"/>
              <w:widowControl w:val="0"/>
              <w:spacing w:line="460" w:lineRule="exact"/>
              <w:ind w:firstLine="0" w:firstLineChars="0"/>
              <w:jc w:val="center"/>
              <w:rPr>
                <w:rFonts w:asciiTheme="majorEastAsia" w:hAnsiTheme="majorEastAsia" w:eastAsiaTheme="majorEastAsia"/>
                <w:sz w:val="24"/>
                <w:szCs w:val="24"/>
                <w:lang w:eastAsia="zh-CN"/>
              </w:rPr>
            </w:pPr>
          </w:p>
        </w:tc>
        <w:tc>
          <w:tcPr>
            <w:tcW w:w="941" w:type="pct"/>
            <w:vAlign w:val="center"/>
          </w:tcPr>
          <w:p w14:paraId="79529B1B">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XODTF80761</w:t>
            </w:r>
          </w:p>
        </w:tc>
        <w:tc>
          <w:tcPr>
            <w:tcW w:w="849" w:type="pct"/>
            <w:vAlign w:val="center"/>
          </w:tcPr>
          <w:p w14:paraId="251D0872">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XO-REZOII</w:t>
            </w:r>
          </w:p>
        </w:tc>
        <w:tc>
          <w:tcPr>
            <w:tcW w:w="1135" w:type="pct"/>
            <w:vAlign w:val="center"/>
          </w:tcPr>
          <w:p w14:paraId="0C83FE9D">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asciiTheme="majorEastAsia" w:hAnsiTheme="majorEastAsia" w:eastAsiaTheme="majorEastAsia"/>
                <w:sz w:val="24"/>
                <w:szCs w:val="24"/>
                <w:lang w:eastAsia="zh-CN"/>
              </w:rPr>
              <w:t>7</w:t>
            </w:r>
            <w:r>
              <w:rPr>
                <w:rFonts w:hint="eastAsia" w:asciiTheme="majorEastAsia" w:hAnsiTheme="majorEastAsia" w:eastAsiaTheme="majorEastAsia"/>
                <w:sz w:val="24"/>
                <w:szCs w:val="24"/>
                <w:lang w:eastAsia="zh-CN"/>
              </w:rPr>
              <w:t>/</w:t>
            </w:r>
            <w:r>
              <w:rPr>
                <w:rFonts w:asciiTheme="majorEastAsia" w:hAnsiTheme="majorEastAsia" w:eastAsiaTheme="majorEastAsia"/>
                <w:sz w:val="24"/>
                <w:szCs w:val="24"/>
                <w:lang w:eastAsia="zh-CN"/>
              </w:rPr>
              <w:t>7</w:t>
            </w:r>
            <w:r>
              <w:rPr>
                <w:rFonts w:hint="eastAsia" w:asciiTheme="majorEastAsia" w:hAnsiTheme="majorEastAsia" w:eastAsiaTheme="majorEastAsia"/>
                <w:sz w:val="24"/>
                <w:szCs w:val="24"/>
                <w:lang w:eastAsia="zh-CN"/>
              </w:rPr>
              <w:t>/7</w:t>
            </w:r>
          </w:p>
        </w:tc>
        <w:tc>
          <w:tcPr>
            <w:tcW w:w="683" w:type="pct"/>
            <w:vAlign w:val="center"/>
          </w:tcPr>
          <w:p w14:paraId="4161932C">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1050</w:t>
            </w:r>
          </w:p>
        </w:tc>
        <w:tc>
          <w:tcPr>
            <w:tcW w:w="682" w:type="pct"/>
            <w:vAlign w:val="center"/>
          </w:tcPr>
          <w:p w14:paraId="31C25CD1">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1.5</w:t>
            </w:r>
          </w:p>
        </w:tc>
        <w:tc>
          <w:tcPr>
            <w:tcW w:w="378" w:type="pct"/>
            <w:vAlign w:val="center"/>
          </w:tcPr>
          <w:p w14:paraId="23C31DFD">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p>
        </w:tc>
      </w:tr>
      <w:tr w14:paraId="7B01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22" w:type="pct"/>
            <w:gridSpan w:val="6"/>
            <w:vAlign w:val="center"/>
          </w:tcPr>
          <w:p w14:paraId="510D68E1">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台量合计</w:t>
            </w:r>
          </w:p>
        </w:tc>
        <w:tc>
          <w:tcPr>
            <w:tcW w:w="378" w:type="pct"/>
            <w:vAlign w:val="center"/>
          </w:tcPr>
          <w:p w14:paraId="49FD9411">
            <w:pPr>
              <w:pStyle w:val="5"/>
              <w:widowControl w:val="0"/>
              <w:spacing w:line="460" w:lineRule="exact"/>
              <w:ind w:firstLine="0" w:firstLineChars="0"/>
              <w:jc w:val="center"/>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18</w:t>
            </w:r>
          </w:p>
        </w:tc>
      </w:tr>
    </w:tbl>
    <w:p w14:paraId="39023AE5">
      <w:pPr>
        <w:spacing w:line="460" w:lineRule="exact"/>
        <w:rPr>
          <w:rFonts w:asciiTheme="majorEastAsia" w:hAnsiTheme="majorEastAsia" w:eastAsiaTheme="majorEastAsia"/>
          <w:b/>
          <w:sz w:val="24"/>
          <w:szCs w:val="24"/>
        </w:rPr>
      </w:pPr>
      <w:r>
        <w:rPr>
          <w:rFonts w:hint="eastAsia" w:asciiTheme="majorEastAsia" w:hAnsiTheme="majorEastAsia" w:eastAsiaTheme="majorEastAsia"/>
          <w:b/>
          <w:sz w:val="24"/>
          <w:szCs w:val="24"/>
        </w:rPr>
        <w:t>3、采购人权利、义务</w:t>
      </w:r>
    </w:p>
    <w:p w14:paraId="368D4E2D">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3.1权利</w:t>
      </w:r>
    </w:p>
    <w:p w14:paraId="2900E4E4">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3.1.1有权要求供应商保障电梯的正常运行；</w:t>
      </w:r>
    </w:p>
    <w:p w14:paraId="0F30FF60">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3.1.2有权监督供应商按照合同约定履行维护保养义务，发出故障通知或提出建议。</w:t>
      </w:r>
    </w:p>
    <w:p w14:paraId="681F0A65">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3.2义务</w:t>
      </w:r>
    </w:p>
    <w:p w14:paraId="597F9FA2">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3.2.1保存每台电梯原始资料，建立管理和使用记录档案；</w:t>
      </w:r>
    </w:p>
    <w:p w14:paraId="56486D36">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3.2.2保证电梯的用电、通讯和监控报警装置等系统安全可靠；保证机房、井道、底坑无漏水渗水现象：进入机房通道畅通且机房有足够的照明、通风、适合设备运行的温度；</w:t>
      </w:r>
    </w:p>
    <w:p w14:paraId="36D26501">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3.2.3供应商每次保养后，采购人的日常管理人员应在《电/扶梯服务报告》单上签字确认，如果更换授权人，采购人应提前书面通知供应商；每次保养后，供应商应当通知采购人的日常管理人员在《电/扶梯服务报告》上的签字确认，供应商的维护保养达不到合同约定的维护保养标准或要求的，采购人有权拒绝在维护保养记录上签字；</w:t>
      </w:r>
    </w:p>
    <w:p w14:paraId="6A4EFD5D">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3.2.4应当制定电梯事故应急防范、救援措施；</w:t>
      </w:r>
    </w:p>
    <w:p w14:paraId="1B8B22BE">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3.2.5在电梯使用过程中发现故障或异常情况应当立即停止使用，并及时通知供应商；</w:t>
      </w:r>
    </w:p>
    <w:p w14:paraId="345CFBCD">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3.2.6未经供应商许可不得允许非供应商人员从事与电梯维护保养有关的工作；</w:t>
      </w:r>
    </w:p>
    <w:p w14:paraId="6FCD219E">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3.2.7应当为供应商提供维护保养所需的工作环境。</w:t>
      </w:r>
    </w:p>
    <w:p w14:paraId="06BD02FA">
      <w:pPr>
        <w:spacing w:line="460" w:lineRule="exact"/>
        <w:rPr>
          <w:rFonts w:asciiTheme="majorEastAsia" w:hAnsiTheme="majorEastAsia" w:eastAsiaTheme="majorEastAsia"/>
          <w:b/>
          <w:sz w:val="24"/>
          <w:szCs w:val="24"/>
        </w:rPr>
      </w:pPr>
      <w:r>
        <w:rPr>
          <w:rFonts w:hint="eastAsia" w:asciiTheme="majorEastAsia" w:hAnsiTheme="majorEastAsia" w:eastAsiaTheme="majorEastAsia"/>
          <w:b/>
          <w:sz w:val="24"/>
          <w:szCs w:val="24"/>
        </w:rPr>
        <w:t>4、供应商权利、义务</w:t>
      </w:r>
    </w:p>
    <w:p w14:paraId="176B589D">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4.1权利</w:t>
      </w:r>
    </w:p>
    <w:p w14:paraId="3662157A">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4.1.1有权要求采购人提供维护保养所需的工作环境及相关资料；</w:t>
      </w:r>
    </w:p>
    <w:p w14:paraId="4D830596">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4.1.2有权拒绝采购人提出的影响电梯安全运行的要求。</w:t>
      </w:r>
    </w:p>
    <w:p w14:paraId="39624A52">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4.2义务</w:t>
      </w:r>
    </w:p>
    <w:p w14:paraId="71D0D31E">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4.2.1按“日常维护保养项目(内容)和要求”对电梯进行维护保养，并对应建立保养和故障记录；</w:t>
      </w:r>
    </w:p>
    <w:p w14:paraId="53A55045">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4.2.2在接到采购人紧急召修后(服务期内需配备24小时服务热线)，以最快速度及时派员赶赴现场排除故障；接到电梯困人故障报告后，维保人员及时抵达所维保电梯所在地实施救援，到达现场时间不晚于接到维保通知后25分钟。提供全天候应急处理服务，并在接到采购人紧急报修通知后5分钟内赶到现场；</w:t>
      </w:r>
    </w:p>
    <w:p w14:paraId="6F8E5D24">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4.2.3工作人员必须持有《特种设备作业人员证》，并购买人身意外保险；</w:t>
      </w:r>
    </w:p>
    <w:p w14:paraId="56AFB0E4">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4.2.4自行配备工作所需的工具及设备，工作时设置现场安全警示标志，落实作业现场安全防护措施，保证作业安全；</w:t>
      </w:r>
    </w:p>
    <w:p w14:paraId="1DF13E61">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4.2.5建立电梯使用情况的巡查制度，随时听取采购人的反馈，对不正常的运行状况，做认真分析及纠正；配合特种设备安全监督管理部门对电梯的年检，因维护保养原因导致电梯年检不合格的，由供应商负责整改完成，并承担其复检费用；</w:t>
      </w:r>
    </w:p>
    <w:p w14:paraId="60C29FAE">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4.2.6因采购人未及时处理供应商提出的合理建议所产生的事故及损失，供应商不承担责任；</w:t>
      </w:r>
    </w:p>
    <w:p w14:paraId="7799204E">
      <w:pPr>
        <w:spacing w:line="460" w:lineRule="exact"/>
        <w:rPr>
          <w:rFonts w:asciiTheme="majorEastAsia" w:hAnsiTheme="majorEastAsia" w:eastAsiaTheme="majorEastAsia"/>
          <w:sz w:val="24"/>
          <w:szCs w:val="24"/>
        </w:rPr>
      </w:pPr>
      <w:r>
        <w:rPr>
          <w:rFonts w:hint="eastAsia" w:asciiTheme="majorEastAsia" w:hAnsiTheme="majorEastAsia" w:eastAsiaTheme="majorEastAsia"/>
          <w:sz w:val="24"/>
          <w:szCs w:val="24"/>
        </w:rPr>
        <w:t>4.2.7应当在电梯安全检验合格有效期届满前一个月，向特种设备安全监督管理部门提出电梯年检申请，并由供应商承担年检费，砝码费及限速器检测费用。</w:t>
      </w:r>
    </w:p>
    <w:p w14:paraId="5DAECDDE">
      <w:pPr>
        <w:spacing w:line="460" w:lineRule="exact"/>
        <w:rPr>
          <w:rFonts w:asciiTheme="majorEastAsia" w:hAnsiTheme="majorEastAsia" w:eastAsiaTheme="majorEastAsia"/>
          <w:sz w:val="24"/>
          <w:szCs w:val="24"/>
        </w:rPr>
      </w:pPr>
      <w:r>
        <w:rPr>
          <w:rFonts w:hint="eastAsia" w:asciiTheme="majorEastAsia" w:hAnsiTheme="majorEastAsia" w:eastAsiaTheme="majorEastAsia"/>
          <w:b/>
          <w:bCs/>
          <w:sz w:val="24"/>
          <w:szCs w:val="24"/>
        </w:rPr>
        <w:t>注：</w:t>
      </w:r>
      <w:r>
        <w:rPr>
          <w:rFonts w:hint="eastAsia" w:asciiTheme="majorEastAsia" w:hAnsiTheme="majorEastAsia" w:eastAsiaTheme="majorEastAsia"/>
          <w:b/>
          <w:sz w:val="24"/>
          <w:szCs w:val="24"/>
        </w:rPr>
        <w:t>以上“技术要求”为实质性要求，必须完全满足，否则响应无效。</w:t>
      </w:r>
    </w:p>
    <w:p w14:paraId="53492CBA">
      <w:pPr>
        <w:widowControl/>
        <w:jc w:val="left"/>
      </w:pPr>
      <w:bookmarkStart w:id="0" w:name="_GoBack"/>
      <w:bookmarkEnd w:id="0"/>
    </w:p>
    <w:sectPr>
      <w:pgSz w:w="11906" w:h="16838"/>
      <w:pgMar w:top="1383" w:right="1349" w:bottom="1440" w:left="134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lgun Gothic">
    <w:panose1 w:val="020B0503020000020004"/>
    <w:charset w:val="81"/>
    <w:family w:val="swiss"/>
    <w:pitch w:val="default"/>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BE6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Malgun Gothic" w:cs="宋体"/>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ormal Indent1"/>
    <w:qFormat/>
    <w:uiPriority w:val="0"/>
    <w:pPr>
      <w:kinsoku w:val="0"/>
      <w:autoSpaceDE w:val="0"/>
      <w:autoSpaceDN w:val="0"/>
      <w:adjustRightInd w:val="0"/>
      <w:snapToGrid w:val="0"/>
      <w:ind w:firstLine="420" w:firstLineChars="200"/>
      <w:textAlignment w:val="baseline"/>
    </w:pPr>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2026-08-10T02:02:43Z</dcterms:created>
  <dc:creator>Administrator</dc:creator>
  <cp:lastModifiedBy>WJJ</cp:lastModifiedBy>
  <dcterms:modified xsi:type="dcterms:W3CDTF">2026-08-10T02:03:34Z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eyJoZGlkIjoiOGE5YWNkNzFlNzM1YTNmZDQwY2Y4ZGU2YjQyY2Q3YWYiLCJ1c2VySWQiOiIyODQ3NjAxNjYifQ==</vt:lpwstr>
  </property>
  <property fmtid="{D5CDD505-2E9C-101B-9397-08002B2CF9AE}" pid="4" name="ICV">
    <vt:lpwstr>ED83E26B3F9E46EFAB79A520BF29FEA3_12</vt:lpwstr>
  </property>
</Properties>
</file>